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bCs/>
          <w:sz w:val="44"/>
          <w:szCs w:val="44"/>
        </w:rPr>
      </w:pPr>
      <w:r>
        <w:rPr>
          <w:rFonts w:hint="eastAsia" w:asciiTheme="minorEastAsia" w:hAnsiTheme="minorEastAsia"/>
          <w:bCs/>
          <w:sz w:val="44"/>
          <w:szCs w:val="44"/>
        </w:rPr>
        <w:t>市红十字会2017年人道救助专项资金公示</w:t>
      </w:r>
    </w:p>
    <w:p>
      <w:pPr>
        <w:widowControl/>
        <w:jc w:val="left"/>
        <w:rPr>
          <w:rFonts w:ascii="仿宋_GB2312" w:hAnsi="微软雅黑" w:eastAsia="仿宋_GB2312" w:cs="宋体"/>
          <w:color w:val="454545"/>
          <w:kern w:val="0"/>
          <w:sz w:val="32"/>
          <w:szCs w:val="32"/>
        </w:rPr>
      </w:pPr>
    </w:p>
    <w:p>
      <w:pPr>
        <w:widowControl/>
        <w:spacing w:line="560" w:lineRule="exact"/>
        <w:ind w:firstLine="640" w:firstLineChars="200"/>
        <w:jc w:val="left"/>
        <w:rPr>
          <w:rFonts w:ascii="仿宋_GB2312" w:hAnsi="微软雅黑" w:eastAsia="仿宋_GB2312" w:cs="宋体"/>
          <w:color w:val="454545"/>
          <w:kern w:val="0"/>
          <w:sz w:val="32"/>
          <w:szCs w:val="32"/>
        </w:rPr>
      </w:pPr>
      <w:r>
        <w:rPr>
          <w:rFonts w:hint="eastAsia" w:ascii="仿宋_GB2312" w:hAnsi="微软雅黑" w:eastAsia="仿宋_GB2312" w:cs="宋体"/>
          <w:color w:val="454545"/>
          <w:kern w:val="0"/>
          <w:sz w:val="32"/>
          <w:szCs w:val="32"/>
        </w:rPr>
        <w:t>2017年市级人道救助专项资金预算安排150万元，其中：本级预算安排150万元。</w:t>
      </w:r>
    </w:p>
    <w:p>
      <w:pPr>
        <w:widowControl/>
        <w:spacing w:line="560" w:lineRule="exact"/>
        <w:ind w:firstLine="640" w:firstLineChars="200"/>
        <w:jc w:val="left"/>
        <w:rPr>
          <w:rFonts w:ascii="黑体" w:hAnsi="微软雅黑" w:eastAsia="黑体" w:cs="宋体"/>
          <w:color w:val="454545"/>
          <w:kern w:val="0"/>
          <w:sz w:val="32"/>
          <w:szCs w:val="32"/>
        </w:rPr>
      </w:pPr>
      <w:r>
        <w:rPr>
          <w:rFonts w:hint="eastAsia" w:ascii="黑体" w:hAnsi="微软雅黑" w:eastAsia="黑体" w:cs="宋体"/>
          <w:color w:val="454545"/>
          <w:kern w:val="0"/>
          <w:sz w:val="32"/>
          <w:szCs w:val="32"/>
        </w:rPr>
        <w:t>一、政策文件</w:t>
      </w:r>
    </w:p>
    <w:p>
      <w:pPr>
        <w:widowControl/>
        <w:spacing w:line="560" w:lineRule="exact"/>
        <w:ind w:firstLine="640" w:firstLineChars="200"/>
        <w:jc w:val="left"/>
        <w:rPr>
          <w:rFonts w:ascii="仿宋_GB2312" w:hAnsi="微软雅黑" w:eastAsia="仿宋_GB2312" w:cs="宋体"/>
          <w:color w:val="454545"/>
          <w:kern w:val="0"/>
          <w:sz w:val="32"/>
          <w:szCs w:val="32"/>
        </w:rPr>
      </w:pPr>
      <w:r>
        <w:rPr>
          <w:rFonts w:hint="eastAsia" w:ascii="仿宋_GB2312" w:hAnsi="微软雅黑" w:eastAsia="仿宋_GB2312" w:cs="宋体"/>
          <w:color w:val="454545"/>
          <w:kern w:val="0"/>
          <w:sz w:val="32"/>
          <w:szCs w:val="32"/>
        </w:rPr>
        <w:t>市委市政府《关于推进红十字事业发展的意见》（温委办</w:t>
      </w:r>
      <w:r>
        <w:rPr>
          <w:rFonts w:hint="eastAsia" w:ascii="仿宋_GB2312" w:hAnsi="仿宋_GB2312" w:eastAsia="仿宋_GB2312" w:cs="仿宋_GB2312"/>
          <w:sz w:val="32"/>
          <w:szCs w:val="32"/>
        </w:rPr>
        <w:t>〔2013〕</w:t>
      </w:r>
      <w:r>
        <w:rPr>
          <w:rFonts w:hint="eastAsia" w:ascii="仿宋_GB2312" w:hAnsi="仿宋_GB2312" w:eastAsia="仿宋_GB2312" w:cs="仿宋_GB2312"/>
          <w:color w:val="454545"/>
          <w:kern w:val="0"/>
          <w:sz w:val="32"/>
          <w:szCs w:val="32"/>
        </w:rPr>
        <w:t>62号）。</w:t>
      </w:r>
    </w:p>
    <w:p>
      <w:pPr>
        <w:widowControl/>
        <w:spacing w:line="560" w:lineRule="exact"/>
        <w:ind w:firstLine="640" w:firstLineChars="200"/>
        <w:jc w:val="left"/>
        <w:rPr>
          <w:rFonts w:ascii="黑体" w:hAnsi="微软雅黑" w:eastAsia="黑体" w:cs="宋体"/>
          <w:color w:val="454545"/>
          <w:kern w:val="0"/>
          <w:sz w:val="32"/>
          <w:szCs w:val="32"/>
        </w:rPr>
      </w:pPr>
      <w:r>
        <w:rPr>
          <w:rFonts w:hint="eastAsia" w:ascii="黑体" w:hAnsi="微软雅黑" w:eastAsia="黑体" w:cs="宋体"/>
          <w:color w:val="454545"/>
          <w:kern w:val="0"/>
          <w:sz w:val="32"/>
          <w:szCs w:val="32"/>
        </w:rPr>
        <w:t>二、分配过程及分配结果</w:t>
      </w:r>
    </w:p>
    <w:p>
      <w:pPr>
        <w:widowControl/>
        <w:spacing w:line="560" w:lineRule="exact"/>
        <w:ind w:firstLine="640" w:firstLineChars="200"/>
        <w:jc w:val="left"/>
        <w:rPr>
          <w:rFonts w:ascii="仿宋_GB2312" w:hAnsi="微软雅黑" w:eastAsia="仿宋_GB2312" w:cs="宋体"/>
          <w:color w:val="454545"/>
          <w:kern w:val="0"/>
          <w:sz w:val="32"/>
          <w:szCs w:val="32"/>
        </w:rPr>
      </w:pPr>
      <w:r>
        <w:rPr>
          <w:rFonts w:hint="eastAsia" w:ascii="仿宋_GB2312" w:hAnsi="微软雅黑" w:eastAsia="仿宋_GB2312" w:cs="宋体"/>
          <w:color w:val="454545"/>
          <w:kern w:val="0"/>
          <w:sz w:val="32"/>
          <w:szCs w:val="32"/>
        </w:rPr>
        <w:t>分配过程：根据本会工作任务情况与部门预算一起编制，经财政复核、市政府同意、人大审议通过（详见附件2）。</w:t>
      </w:r>
    </w:p>
    <w:p>
      <w:pPr>
        <w:widowControl/>
        <w:spacing w:line="560" w:lineRule="exact"/>
        <w:ind w:firstLine="640" w:firstLineChars="200"/>
        <w:jc w:val="left"/>
        <w:rPr>
          <w:rFonts w:ascii="黑体" w:hAnsi="微软雅黑" w:eastAsia="黑体" w:cs="宋体"/>
          <w:color w:val="454545"/>
          <w:kern w:val="0"/>
          <w:sz w:val="32"/>
          <w:szCs w:val="32"/>
        </w:rPr>
      </w:pPr>
      <w:r>
        <w:rPr>
          <w:rFonts w:hint="eastAsia" w:ascii="黑体" w:hAnsi="微软雅黑" w:eastAsia="黑体" w:cs="宋体"/>
          <w:color w:val="454545"/>
          <w:kern w:val="0"/>
          <w:sz w:val="32"/>
          <w:szCs w:val="32"/>
        </w:rPr>
        <w:t>三、执行过程及执行结果</w:t>
      </w:r>
    </w:p>
    <w:p>
      <w:pPr>
        <w:widowControl/>
        <w:spacing w:line="560" w:lineRule="exact"/>
        <w:ind w:firstLine="640" w:firstLineChars="200"/>
        <w:jc w:val="left"/>
        <w:rPr>
          <w:rFonts w:ascii="仿宋_GB2312" w:hAnsi="微软雅黑" w:eastAsia="仿宋_GB2312" w:cs="宋体"/>
          <w:color w:val="454545"/>
          <w:kern w:val="0"/>
          <w:sz w:val="32"/>
          <w:szCs w:val="32"/>
        </w:rPr>
      </w:pPr>
      <w:r>
        <w:rPr>
          <w:rFonts w:hint="eastAsia" w:ascii="仿宋_GB2312" w:hAnsi="微软雅黑" w:eastAsia="仿宋_GB2312" w:cs="宋体"/>
          <w:color w:val="454545"/>
          <w:kern w:val="0"/>
          <w:sz w:val="32"/>
          <w:szCs w:val="32"/>
        </w:rPr>
        <w:t>由具体负责实施处室根据《温州市红十字会人道救助市级财政专项资金管理办法（试行）》安排使用。人道救助专项资金列入市红十字会部门预算150万元。执行情况截止2017年9月底</w:t>
      </w:r>
      <w:r>
        <w:rPr>
          <w:rFonts w:hint="eastAsia" w:ascii="仿宋_GB2312" w:hAnsi="微软雅黑" w:eastAsia="仿宋_GB2312" w:cs="宋体"/>
          <w:color w:val="454545"/>
          <w:kern w:val="0"/>
          <w:sz w:val="32"/>
          <w:szCs w:val="32"/>
          <w:lang w:eastAsia="zh-CN"/>
        </w:rPr>
        <w:t>，</w:t>
      </w:r>
      <w:r>
        <w:rPr>
          <w:rFonts w:hint="eastAsia" w:ascii="仿宋_GB2312" w:hAnsi="微软雅黑" w:eastAsia="仿宋_GB2312" w:cs="宋体"/>
          <w:color w:val="454545"/>
          <w:kern w:val="0"/>
          <w:sz w:val="32"/>
          <w:szCs w:val="32"/>
        </w:rPr>
        <w:t>已支付67.63万元。其中：</w:t>
      </w:r>
    </w:p>
    <w:p>
      <w:pPr>
        <w:widowControl/>
        <w:spacing w:line="560" w:lineRule="exact"/>
        <w:ind w:firstLine="640" w:firstLineChars="200"/>
        <w:jc w:val="left"/>
        <w:rPr>
          <w:rFonts w:hint="eastAsia" w:ascii="仿宋_GB2312" w:hAnsi="微软雅黑" w:eastAsia="仿宋_GB2312" w:cs="宋体"/>
          <w:color w:val="454545"/>
          <w:kern w:val="0"/>
          <w:sz w:val="32"/>
          <w:szCs w:val="32"/>
        </w:rPr>
      </w:pPr>
      <w:r>
        <w:rPr>
          <w:rFonts w:hint="eastAsia" w:ascii="仿宋_GB2312" w:hAnsi="微软雅黑" w:eastAsia="仿宋_GB2312" w:cs="宋体"/>
          <w:color w:val="454545"/>
          <w:kern w:val="0"/>
          <w:sz w:val="32"/>
          <w:szCs w:val="32"/>
        </w:rPr>
        <w:t>1.“三献”（</w:t>
      </w:r>
      <w:r>
        <w:rPr>
          <w:rFonts w:hint="eastAsia" w:ascii="仿宋_GB2312" w:hAnsi="微软雅黑" w:eastAsia="仿宋_GB2312" w:cs="宋体"/>
          <w:color w:val="454545"/>
          <w:kern w:val="0"/>
          <w:sz w:val="32"/>
          <w:szCs w:val="32"/>
          <w:lang w:eastAsia="zh-CN"/>
        </w:rPr>
        <w:t>推动献血、</w:t>
      </w:r>
      <w:r>
        <w:rPr>
          <w:rFonts w:hint="eastAsia" w:ascii="仿宋_GB2312" w:hAnsi="微软雅黑" w:eastAsia="仿宋_GB2312" w:cs="宋体"/>
          <w:color w:val="454545"/>
          <w:kern w:val="0"/>
          <w:sz w:val="32"/>
          <w:szCs w:val="32"/>
        </w:rPr>
        <w:t>造血干细胞</w:t>
      </w:r>
      <w:r>
        <w:rPr>
          <w:rFonts w:hint="eastAsia" w:ascii="仿宋_GB2312" w:hAnsi="微软雅黑" w:eastAsia="仿宋_GB2312" w:cs="宋体"/>
          <w:color w:val="454545"/>
          <w:kern w:val="0"/>
          <w:sz w:val="32"/>
          <w:szCs w:val="32"/>
          <w:lang w:eastAsia="zh-CN"/>
        </w:rPr>
        <w:t>和</w:t>
      </w:r>
      <w:r>
        <w:rPr>
          <w:rFonts w:hint="eastAsia" w:ascii="仿宋_GB2312" w:hAnsi="微软雅黑" w:eastAsia="仿宋_GB2312" w:cs="宋体"/>
          <w:color w:val="454545"/>
          <w:kern w:val="0"/>
          <w:sz w:val="32"/>
          <w:szCs w:val="32"/>
        </w:rPr>
        <w:t>人体器官</w:t>
      </w:r>
      <w:r>
        <w:rPr>
          <w:rFonts w:hint="eastAsia" w:ascii="仿宋_GB2312" w:hAnsi="微软雅黑" w:eastAsia="仿宋_GB2312" w:cs="宋体"/>
          <w:color w:val="454545"/>
          <w:kern w:val="0"/>
          <w:sz w:val="32"/>
          <w:szCs w:val="32"/>
          <w:lang w:eastAsia="zh-CN"/>
        </w:rPr>
        <w:t>、</w:t>
      </w:r>
      <w:r>
        <w:rPr>
          <w:rFonts w:hint="eastAsia" w:ascii="仿宋_GB2312" w:hAnsi="微软雅黑" w:eastAsia="仿宋_GB2312" w:cs="宋体"/>
          <w:color w:val="454545"/>
          <w:kern w:val="0"/>
          <w:sz w:val="32"/>
          <w:szCs w:val="32"/>
        </w:rPr>
        <w:t>遗体</w:t>
      </w:r>
      <w:r>
        <w:rPr>
          <w:rFonts w:hint="eastAsia" w:ascii="仿宋_GB2312" w:hAnsi="微软雅黑" w:eastAsia="仿宋_GB2312" w:cs="宋体"/>
          <w:color w:val="454545"/>
          <w:kern w:val="0"/>
          <w:sz w:val="32"/>
          <w:szCs w:val="32"/>
          <w:lang w:eastAsia="zh-CN"/>
        </w:rPr>
        <w:t>、角膜</w:t>
      </w:r>
      <w:r>
        <w:rPr>
          <w:rFonts w:hint="eastAsia" w:ascii="仿宋_GB2312" w:hAnsi="微软雅黑" w:eastAsia="仿宋_GB2312" w:cs="宋体"/>
          <w:color w:val="454545"/>
          <w:kern w:val="0"/>
          <w:sz w:val="32"/>
          <w:szCs w:val="32"/>
        </w:rPr>
        <w:t>捐献）工作经费9.50万元，主要用于红十字好故事</w:t>
      </w:r>
      <w:r>
        <w:rPr>
          <w:rFonts w:hint="eastAsia" w:ascii="仿宋_GB2312" w:hAnsi="微软雅黑" w:eastAsia="仿宋_GB2312" w:cs="宋体"/>
          <w:color w:val="454545"/>
          <w:kern w:val="0"/>
          <w:sz w:val="32"/>
          <w:szCs w:val="32"/>
          <w:lang w:eastAsia="zh-CN"/>
        </w:rPr>
        <w:t>传</w:t>
      </w:r>
      <w:r>
        <w:rPr>
          <w:rFonts w:hint="eastAsia" w:ascii="仿宋_GB2312" w:hAnsi="微软雅黑" w:eastAsia="仿宋_GB2312" w:cs="宋体"/>
          <w:color w:val="454545"/>
          <w:kern w:val="0"/>
          <w:sz w:val="32"/>
          <w:szCs w:val="32"/>
        </w:rPr>
        <w:t>播、清明缅怀纪念活动、造血干细胞采集活动</w:t>
      </w:r>
      <w:r>
        <w:rPr>
          <w:rFonts w:hint="eastAsia" w:ascii="仿宋_GB2312" w:hAnsi="微软雅黑" w:eastAsia="仿宋_GB2312" w:cs="宋体"/>
          <w:color w:val="454545"/>
          <w:kern w:val="0"/>
          <w:sz w:val="32"/>
          <w:szCs w:val="32"/>
          <w:lang w:eastAsia="zh-CN"/>
        </w:rPr>
        <w:t>及</w:t>
      </w:r>
      <w:r>
        <w:rPr>
          <w:rFonts w:hint="eastAsia" w:ascii="仿宋_GB2312" w:hAnsi="微软雅黑" w:eastAsia="仿宋_GB2312" w:cs="宋体"/>
          <w:color w:val="454545"/>
          <w:kern w:val="0"/>
          <w:sz w:val="32"/>
          <w:szCs w:val="32"/>
        </w:rPr>
        <w:t>捐献者慰问等。</w:t>
      </w:r>
    </w:p>
    <w:p>
      <w:pPr>
        <w:widowControl/>
        <w:spacing w:line="560" w:lineRule="exact"/>
        <w:ind w:firstLine="640" w:firstLineChars="200"/>
        <w:jc w:val="left"/>
        <w:rPr>
          <w:rFonts w:ascii="仿宋_GB2312" w:hAnsi="微软雅黑" w:eastAsia="仿宋_GB2312" w:cs="宋体"/>
          <w:color w:val="454545"/>
          <w:kern w:val="0"/>
          <w:sz w:val="32"/>
          <w:szCs w:val="32"/>
        </w:rPr>
      </w:pPr>
      <w:r>
        <w:rPr>
          <w:rFonts w:hint="eastAsia" w:ascii="仿宋_GB2312" w:hAnsi="微软雅黑" w:eastAsia="仿宋_GB2312" w:cs="宋体"/>
          <w:color w:val="454545"/>
          <w:kern w:val="0"/>
          <w:sz w:val="32"/>
          <w:szCs w:val="32"/>
        </w:rPr>
        <w:t>2.应急救护工作经费5</w:t>
      </w:r>
      <w:r>
        <w:rPr>
          <w:rFonts w:hint="eastAsia" w:ascii="仿宋_GB2312" w:hAnsi="微软雅黑" w:eastAsia="仿宋_GB2312" w:cs="宋体"/>
          <w:color w:val="454545"/>
          <w:kern w:val="0"/>
          <w:sz w:val="32"/>
          <w:szCs w:val="32"/>
          <w:lang w:val="en-US" w:eastAsia="zh-CN"/>
        </w:rPr>
        <w:t>2</w:t>
      </w:r>
      <w:r>
        <w:rPr>
          <w:rFonts w:hint="eastAsia" w:ascii="仿宋_GB2312" w:hAnsi="微软雅黑" w:eastAsia="仿宋_GB2312" w:cs="宋体"/>
          <w:color w:val="454545"/>
          <w:kern w:val="0"/>
          <w:sz w:val="32"/>
          <w:szCs w:val="32"/>
        </w:rPr>
        <w:t>.</w:t>
      </w:r>
      <w:r>
        <w:rPr>
          <w:rFonts w:hint="eastAsia" w:ascii="仿宋_GB2312" w:hAnsi="微软雅黑" w:eastAsia="仿宋_GB2312" w:cs="宋体"/>
          <w:color w:val="454545"/>
          <w:kern w:val="0"/>
          <w:sz w:val="32"/>
          <w:szCs w:val="32"/>
          <w:lang w:val="en-US" w:eastAsia="zh-CN"/>
        </w:rPr>
        <w:t>55</w:t>
      </w:r>
      <w:r>
        <w:rPr>
          <w:rFonts w:hint="eastAsia" w:ascii="仿宋_GB2312" w:hAnsi="微软雅黑" w:eastAsia="仿宋_GB2312" w:cs="宋体"/>
          <w:color w:val="454545"/>
          <w:kern w:val="0"/>
          <w:sz w:val="32"/>
          <w:szCs w:val="32"/>
        </w:rPr>
        <w:t>万元，主要用于救护培训</w:t>
      </w:r>
      <w:r>
        <w:rPr>
          <w:rFonts w:hint="eastAsia" w:ascii="仿宋_GB2312" w:hAnsi="微软雅黑" w:eastAsia="仿宋_GB2312" w:cs="宋体"/>
          <w:color w:val="454545"/>
          <w:kern w:val="0"/>
          <w:sz w:val="32"/>
          <w:szCs w:val="32"/>
          <w:lang w:eastAsia="zh-CN"/>
        </w:rPr>
        <w:t>师资费用</w:t>
      </w:r>
      <w:r>
        <w:rPr>
          <w:rFonts w:hint="eastAsia" w:ascii="仿宋_GB2312" w:hAnsi="微软雅黑" w:eastAsia="仿宋_GB2312" w:cs="宋体"/>
          <w:color w:val="454545"/>
          <w:kern w:val="0"/>
          <w:sz w:val="32"/>
          <w:szCs w:val="32"/>
        </w:rPr>
        <w:t>、急救包等教学用品购置</w:t>
      </w:r>
      <w:r>
        <w:rPr>
          <w:rFonts w:hint="eastAsia" w:ascii="仿宋_GB2312" w:hAnsi="微软雅黑" w:eastAsia="仿宋_GB2312" w:cs="宋体"/>
          <w:color w:val="454545"/>
          <w:kern w:val="0"/>
          <w:sz w:val="32"/>
          <w:szCs w:val="32"/>
          <w:lang w:eastAsia="zh-CN"/>
        </w:rPr>
        <w:t>、应急救护宣传普及等费用</w:t>
      </w:r>
      <w:r>
        <w:rPr>
          <w:rFonts w:hint="eastAsia" w:ascii="仿宋_GB2312" w:hAnsi="微软雅黑" w:eastAsia="仿宋_GB2312" w:cs="宋体"/>
          <w:color w:val="454545"/>
          <w:kern w:val="0"/>
          <w:sz w:val="32"/>
          <w:szCs w:val="32"/>
        </w:rPr>
        <w:t>。</w:t>
      </w:r>
    </w:p>
    <w:p>
      <w:pPr>
        <w:widowControl/>
        <w:spacing w:line="560" w:lineRule="exact"/>
        <w:ind w:firstLine="640" w:firstLineChars="200"/>
        <w:jc w:val="left"/>
        <w:rPr>
          <w:rFonts w:ascii="仿宋_GB2312" w:hAnsi="微软雅黑" w:eastAsia="仿宋_GB2312" w:cs="宋体"/>
          <w:color w:val="454545"/>
          <w:kern w:val="0"/>
          <w:sz w:val="32"/>
          <w:szCs w:val="32"/>
        </w:rPr>
      </w:pPr>
      <w:r>
        <w:rPr>
          <w:rFonts w:hint="eastAsia" w:ascii="仿宋_GB2312" w:hAnsi="微软雅黑" w:eastAsia="仿宋_GB2312" w:cs="宋体"/>
          <w:color w:val="454545"/>
          <w:kern w:val="0"/>
          <w:sz w:val="32"/>
          <w:szCs w:val="32"/>
        </w:rPr>
        <w:t>3.基层组织（阵地）建设工作经费1.18万元，主要用于学校红十字青少年工作会议。</w:t>
      </w:r>
    </w:p>
    <w:p>
      <w:pPr>
        <w:widowControl/>
        <w:spacing w:line="560" w:lineRule="exact"/>
        <w:ind w:firstLine="640" w:firstLineChars="200"/>
        <w:jc w:val="left"/>
        <w:rPr>
          <w:rFonts w:ascii="仿宋_GB2312" w:hAnsi="微软雅黑" w:eastAsia="仿宋_GB2312" w:cs="宋体"/>
          <w:color w:val="454545"/>
          <w:kern w:val="0"/>
          <w:sz w:val="32"/>
          <w:szCs w:val="32"/>
        </w:rPr>
      </w:pPr>
      <w:r>
        <w:rPr>
          <w:rFonts w:hint="eastAsia" w:ascii="仿宋_GB2312" w:hAnsi="微软雅黑" w:eastAsia="仿宋_GB2312" w:cs="宋体"/>
          <w:color w:val="454545"/>
          <w:kern w:val="0"/>
          <w:sz w:val="32"/>
          <w:szCs w:val="32"/>
        </w:rPr>
        <w:t>4.志愿服务工作经费3.56万元，主要用于</w:t>
      </w:r>
      <w:r>
        <w:rPr>
          <w:rFonts w:hint="eastAsia" w:ascii="仿宋_GB2312" w:hAnsi="微软雅黑" w:eastAsia="仿宋_GB2312" w:cs="宋体"/>
          <w:color w:val="454545"/>
          <w:kern w:val="0"/>
          <w:sz w:val="32"/>
          <w:szCs w:val="32"/>
          <w:lang w:eastAsia="zh-CN"/>
        </w:rPr>
        <w:t>志愿</w:t>
      </w:r>
      <w:r>
        <w:rPr>
          <w:rFonts w:hint="eastAsia" w:ascii="仿宋_GB2312" w:hAnsi="微软雅黑" w:eastAsia="仿宋_GB2312" w:cs="宋体"/>
          <w:color w:val="454545"/>
          <w:kern w:val="0"/>
          <w:sz w:val="32"/>
          <w:szCs w:val="32"/>
        </w:rPr>
        <w:t>服务队</w:t>
      </w:r>
      <w:r>
        <w:rPr>
          <w:rFonts w:hint="eastAsia" w:ascii="仿宋_GB2312" w:hAnsi="微软雅黑" w:eastAsia="仿宋_GB2312" w:cs="宋体"/>
          <w:color w:val="454545"/>
          <w:kern w:val="0"/>
          <w:sz w:val="32"/>
          <w:szCs w:val="32"/>
          <w:lang w:eastAsia="zh-CN"/>
        </w:rPr>
        <w:t>服装购置</w:t>
      </w:r>
      <w:r>
        <w:rPr>
          <w:rFonts w:hint="eastAsia" w:ascii="仿宋_GB2312" w:hAnsi="微软雅黑" w:eastAsia="仿宋_GB2312" w:cs="宋体"/>
          <w:color w:val="454545"/>
          <w:kern w:val="0"/>
          <w:sz w:val="32"/>
          <w:szCs w:val="32"/>
        </w:rPr>
        <w:t>、</w:t>
      </w:r>
      <w:r>
        <w:rPr>
          <w:rFonts w:hint="eastAsia" w:ascii="仿宋_GB2312" w:hAnsi="微软雅黑" w:eastAsia="仿宋_GB2312" w:cs="宋体"/>
          <w:color w:val="454545"/>
          <w:kern w:val="0"/>
          <w:sz w:val="32"/>
          <w:szCs w:val="32"/>
          <w:lang w:eastAsia="zh-CN"/>
        </w:rPr>
        <w:t>广场</w:t>
      </w:r>
      <w:r>
        <w:rPr>
          <w:rFonts w:hint="eastAsia" w:ascii="仿宋_GB2312" w:hAnsi="微软雅黑" w:eastAsia="仿宋_GB2312" w:cs="宋体"/>
          <w:color w:val="454545"/>
          <w:kern w:val="0"/>
          <w:sz w:val="32"/>
          <w:szCs w:val="32"/>
        </w:rPr>
        <w:t>志愿</w:t>
      </w:r>
      <w:r>
        <w:rPr>
          <w:rFonts w:hint="eastAsia" w:ascii="仿宋_GB2312" w:hAnsi="微软雅黑" w:eastAsia="仿宋_GB2312" w:cs="宋体"/>
          <w:color w:val="454545"/>
          <w:kern w:val="0"/>
          <w:sz w:val="32"/>
          <w:szCs w:val="32"/>
          <w:lang w:eastAsia="zh-CN"/>
        </w:rPr>
        <w:t>服务</w:t>
      </w:r>
      <w:r>
        <w:rPr>
          <w:rFonts w:hint="eastAsia" w:ascii="仿宋_GB2312" w:hAnsi="微软雅黑" w:eastAsia="仿宋_GB2312" w:cs="宋体"/>
          <w:color w:val="454545"/>
          <w:kern w:val="0"/>
          <w:sz w:val="32"/>
          <w:szCs w:val="32"/>
        </w:rPr>
        <w:t>活动、志愿服务队暑期实践活动及红十字志愿者证制作费。</w:t>
      </w:r>
    </w:p>
    <w:p>
      <w:pPr>
        <w:widowControl/>
        <w:spacing w:line="560" w:lineRule="exact"/>
        <w:ind w:firstLine="640" w:firstLineChars="200"/>
        <w:jc w:val="left"/>
        <w:rPr>
          <w:rFonts w:ascii="仿宋_GB2312" w:hAnsi="微软雅黑" w:eastAsia="仿宋_GB2312" w:cs="宋体"/>
          <w:color w:val="454545"/>
          <w:kern w:val="0"/>
          <w:sz w:val="32"/>
          <w:szCs w:val="32"/>
        </w:rPr>
      </w:pPr>
      <w:r>
        <w:rPr>
          <w:rFonts w:hint="eastAsia" w:ascii="仿宋_GB2312" w:hAnsi="微软雅黑" w:eastAsia="仿宋_GB2312" w:cs="宋体"/>
          <w:color w:val="454545"/>
          <w:kern w:val="0"/>
          <w:sz w:val="32"/>
          <w:szCs w:val="32"/>
        </w:rPr>
        <w:t>5.救灾备灾工作经费</w:t>
      </w:r>
      <w:r>
        <w:rPr>
          <w:rFonts w:hint="eastAsia" w:ascii="仿宋_GB2312" w:hAnsi="微软雅黑" w:eastAsia="仿宋_GB2312" w:cs="宋体"/>
          <w:color w:val="454545"/>
          <w:kern w:val="0"/>
          <w:sz w:val="32"/>
          <w:szCs w:val="32"/>
          <w:lang w:val="en-US" w:eastAsia="zh-CN"/>
        </w:rPr>
        <w:t>0.84</w:t>
      </w:r>
      <w:r>
        <w:rPr>
          <w:rFonts w:hint="eastAsia" w:ascii="仿宋_GB2312" w:hAnsi="微软雅黑" w:eastAsia="仿宋_GB2312" w:cs="宋体"/>
          <w:color w:val="454545"/>
          <w:kern w:val="0"/>
          <w:sz w:val="32"/>
          <w:szCs w:val="32"/>
        </w:rPr>
        <w:t>万元，主要用于物资搬运等。</w:t>
      </w:r>
    </w:p>
    <w:p>
      <w:pPr>
        <w:widowControl/>
        <w:spacing w:line="560" w:lineRule="exact"/>
        <w:ind w:firstLine="640" w:firstLineChars="200"/>
        <w:jc w:val="left"/>
        <w:rPr>
          <w:rFonts w:ascii="仿宋_GB2312" w:hAnsi="微软雅黑" w:eastAsia="仿宋_GB2312" w:cs="宋体"/>
          <w:color w:val="454545"/>
          <w:kern w:val="0"/>
          <w:sz w:val="32"/>
          <w:szCs w:val="32"/>
        </w:rPr>
      </w:pPr>
      <w:r>
        <w:rPr>
          <w:rFonts w:hint="eastAsia" w:ascii="仿宋_GB2312" w:hAnsi="微软雅黑" w:eastAsia="仿宋_GB2312" w:cs="宋体"/>
          <w:color w:val="454545"/>
          <w:kern w:val="0"/>
          <w:sz w:val="32"/>
          <w:szCs w:val="32"/>
        </w:rPr>
        <w:t>附件 1.2017年市级部门收支预算总表</w:t>
      </w:r>
    </w:p>
    <w:p>
      <w:pPr>
        <w:widowControl/>
        <w:spacing w:line="560" w:lineRule="exact"/>
        <w:ind w:firstLine="800" w:firstLineChars="250"/>
        <w:jc w:val="left"/>
        <w:rPr>
          <w:rFonts w:ascii="仿宋_GB2312" w:hAnsi="微软雅黑" w:eastAsia="仿宋_GB2312" w:cs="宋体"/>
          <w:color w:val="454545"/>
          <w:kern w:val="0"/>
          <w:sz w:val="32"/>
          <w:szCs w:val="32"/>
        </w:rPr>
      </w:pPr>
      <w:r>
        <w:rPr>
          <w:rFonts w:hint="eastAsia" w:ascii="仿宋_GB2312" w:hAnsi="微软雅黑" w:eastAsia="仿宋_GB2312" w:cs="宋体"/>
          <w:color w:val="454545"/>
          <w:kern w:val="0"/>
          <w:sz w:val="32"/>
          <w:szCs w:val="32"/>
        </w:rPr>
        <w:t xml:space="preserve">    2.2017年温州市红十字会人道救助专项资金预算安排</w:t>
      </w:r>
    </w:p>
    <w:p>
      <w:pPr>
        <w:widowControl/>
        <w:spacing w:line="560" w:lineRule="exact"/>
        <w:ind w:left="1756" w:leftChars="684" w:hanging="320" w:hangingChars="100"/>
        <w:jc w:val="left"/>
        <w:rPr>
          <w:rFonts w:ascii="仿宋_GB2312" w:hAnsi="微软雅黑" w:eastAsia="仿宋_GB2312" w:cs="宋体"/>
          <w:color w:val="454545"/>
          <w:kern w:val="0"/>
          <w:sz w:val="32"/>
          <w:szCs w:val="32"/>
        </w:rPr>
      </w:pPr>
      <w:r>
        <w:rPr>
          <w:rFonts w:hint="eastAsia" w:ascii="仿宋_GB2312" w:hAnsi="微软雅黑" w:eastAsia="仿宋_GB2312" w:cs="宋体"/>
          <w:color w:val="454545"/>
          <w:kern w:val="0"/>
          <w:sz w:val="32"/>
          <w:szCs w:val="32"/>
        </w:rPr>
        <w:t>3.温州市红十字会人道救助市级财政专项资金管理办法（试行）</w:t>
      </w:r>
    </w:p>
    <w:p>
      <w:pPr>
        <w:widowControl/>
        <w:spacing w:line="560" w:lineRule="exact"/>
        <w:ind w:left="1600" w:hanging="1600" w:hangingChars="500"/>
        <w:jc w:val="left"/>
        <w:rPr>
          <w:rFonts w:ascii="仿宋_GB2312" w:hAnsi="微软雅黑" w:eastAsia="仿宋_GB2312" w:cs="宋体"/>
          <w:color w:val="454545"/>
          <w:kern w:val="0"/>
          <w:sz w:val="32"/>
          <w:szCs w:val="32"/>
        </w:rPr>
      </w:pPr>
      <w:r>
        <w:rPr>
          <w:rFonts w:hint="eastAsia" w:ascii="仿宋_GB2312" w:hAnsi="微软雅黑" w:eastAsia="仿宋_GB2312" w:cs="宋体"/>
          <w:color w:val="454545"/>
          <w:kern w:val="0"/>
          <w:sz w:val="32"/>
          <w:szCs w:val="32"/>
        </w:rPr>
        <w:t xml:space="preserve">         4.《中共温州市委 温州市人民政府 关于推进红十字事业发展的意见》（温委办</w:t>
      </w:r>
      <w:r>
        <w:rPr>
          <w:rFonts w:hint="eastAsia" w:ascii="仿宋_GB2312" w:hAnsi="仿宋_GB2312" w:eastAsia="仿宋_GB2312" w:cs="仿宋_GB2312"/>
          <w:sz w:val="32"/>
          <w:szCs w:val="32"/>
        </w:rPr>
        <w:t>〔2013〕</w:t>
      </w:r>
      <w:r>
        <w:rPr>
          <w:rFonts w:hint="eastAsia" w:ascii="仿宋_GB2312" w:hAnsi="微软雅黑" w:eastAsia="仿宋_GB2312" w:cs="宋体"/>
          <w:color w:val="454545"/>
          <w:kern w:val="0"/>
          <w:sz w:val="32"/>
          <w:szCs w:val="32"/>
        </w:rPr>
        <w:t>62号）</w:t>
      </w:r>
    </w:p>
    <w:p>
      <w:pPr>
        <w:widowControl/>
        <w:spacing w:line="560" w:lineRule="exact"/>
        <w:jc w:val="left"/>
        <w:rPr>
          <w:rFonts w:ascii="仿宋_GB2312" w:hAnsi="微软雅黑" w:eastAsia="仿宋_GB2312" w:cs="宋体"/>
          <w:color w:val="454545"/>
          <w:kern w:val="0"/>
          <w:sz w:val="32"/>
          <w:szCs w:val="32"/>
        </w:rPr>
      </w:pPr>
    </w:p>
    <w:p>
      <w:pPr>
        <w:widowControl/>
        <w:spacing w:line="560" w:lineRule="exact"/>
        <w:jc w:val="left"/>
        <w:rPr>
          <w:rFonts w:ascii="仿宋_GB2312" w:hAnsi="微软雅黑" w:eastAsia="仿宋_GB2312" w:cs="宋体"/>
          <w:color w:val="454545"/>
          <w:kern w:val="0"/>
          <w:sz w:val="32"/>
          <w:szCs w:val="32"/>
        </w:rPr>
      </w:pPr>
    </w:p>
    <w:p>
      <w:pPr>
        <w:widowControl/>
        <w:spacing w:line="560" w:lineRule="exact"/>
        <w:jc w:val="left"/>
        <w:rPr>
          <w:rFonts w:ascii="仿宋_GB2312" w:hAnsi="微软雅黑" w:eastAsia="仿宋_GB2312" w:cs="宋体"/>
          <w:color w:val="454545"/>
          <w:kern w:val="0"/>
          <w:sz w:val="32"/>
          <w:szCs w:val="32"/>
        </w:rPr>
      </w:pPr>
    </w:p>
    <w:p>
      <w:pPr>
        <w:widowControl/>
        <w:spacing w:line="560" w:lineRule="exact"/>
        <w:jc w:val="left"/>
        <w:rPr>
          <w:rFonts w:ascii="仿宋_GB2312" w:hAnsi="微软雅黑" w:eastAsia="仿宋_GB2312" w:cs="宋体"/>
          <w:color w:val="454545"/>
          <w:kern w:val="0"/>
          <w:sz w:val="32"/>
          <w:szCs w:val="32"/>
        </w:rPr>
      </w:pPr>
    </w:p>
    <w:p>
      <w:pPr>
        <w:widowControl/>
        <w:spacing w:line="560" w:lineRule="exact"/>
        <w:jc w:val="left"/>
        <w:rPr>
          <w:rFonts w:ascii="仿宋_GB2312" w:hAnsi="微软雅黑" w:eastAsia="仿宋_GB2312" w:cs="宋体"/>
          <w:color w:val="454545"/>
          <w:kern w:val="0"/>
          <w:sz w:val="32"/>
          <w:szCs w:val="32"/>
        </w:rPr>
      </w:pPr>
    </w:p>
    <w:p>
      <w:pPr>
        <w:widowControl/>
        <w:jc w:val="left"/>
        <w:rPr>
          <w:rFonts w:ascii="仿宋_GB2312" w:hAnsi="微软雅黑" w:eastAsia="仿宋_GB2312" w:cs="宋体"/>
          <w:color w:val="454545"/>
          <w:kern w:val="0"/>
          <w:sz w:val="32"/>
          <w:szCs w:val="32"/>
        </w:rPr>
      </w:pPr>
    </w:p>
    <w:p>
      <w:pPr>
        <w:widowControl/>
        <w:jc w:val="left"/>
        <w:rPr>
          <w:rFonts w:ascii="仿宋_GB2312" w:hAnsi="微软雅黑" w:eastAsia="仿宋_GB2312" w:cs="宋体"/>
          <w:color w:val="454545"/>
          <w:kern w:val="0"/>
          <w:sz w:val="32"/>
          <w:szCs w:val="32"/>
        </w:rPr>
      </w:pPr>
    </w:p>
    <w:p>
      <w:pPr>
        <w:widowControl/>
        <w:jc w:val="left"/>
        <w:rPr>
          <w:rFonts w:ascii="仿宋_GB2312" w:hAnsi="微软雅黑" w:eastAsia="仿宋_GB2312" w:cs="宋体"/>
          <w:color w:val="454545"/>
          <w:kern w:val="0"/>
          <w:sz w:val="32"/>
          <w:szCs w:val="32"/>
        </w:rPr>
      </w:pPr>
    </w:p>
    <w:p>
      <w:pPr>
        <w:widowControl/>
        <w:jc w:val="left"/>
        <w:rPr>
          <w:rFonts w:hint="eastAsia" w:ascii="仿宋_GB2312" w:hAnsi="微软雅黑" w:eastAsia="仿宋_GB2312" w:cs="宋体"/>
          <w:color w:val="454545"/>
          <w:kern w:val="0"/>
          <w:sz w:val="32"/>
          <w:szCs w:val="32"/>
        </w:rPr>
      </w:pPr>
    </w:p>
    <w:p>
      <w:pPr>
        <w:widowControl/>
        <w:jc w:val="left"/>
        <w:rPr>
          <w:rFonts w:hint="eastAsia" w:ascii="仿宋_GB2312" w:hAnsi="微软雅黑" w:eastAsia="仿宋_GB2312" w:cs="宋体"/>
          <w:color w:val="454545"/>
          <w:kern w:val="0"/>
          <w:sz w:val="32"/>
          <w:szCs w:val="32"/>
        </w:rPr>
      </w:pPr>
    </w:p>
    <w:p>
      <w:pPr>
        <w:widowControl/>
        <w:jc w:val="left"/>
        <w:rPr>
          <w:rFonts w:ascii="仿宋_GB2312" w:hAnsi="微软雅黑" w:eastAsia="仿宋_GB2312" w:cs="宋体"/>
          <w:color w:val="454545"/>
          <w:kern w:val="0"/>
          <w:sz w:val="32"/>
          <w:szCs w:val="32"/>
        </w:rPr>
      </w:pPr>
    </w:p>
    <w:p>
      <w:pPr>
        <w:widowControl/>
        <w:jc w:val="left"/>
        <w:rPr>
          <w:rFonts w:hint="eastAsia" w:ascii="仿宋_GB2312" w:hAnsi="微软雅黑" w:eastAsia="仿宋_GB2312" w:cs="宋体"/>
          <w:color w:val="454545"/>
          <w:kern w:val="0"/>
          <w:sz w:val="32"/>
          <w:szCs w:val="32"/>
        </w:rPr>
      </w:pPr>
    </w:p>
    <w:p>
      <w:pPr>
        <w:widowControl/>
        <w:jc w:val="left"/>
        <w:rPr>
          <w:rFonts w:hint="eastAsia" w:ascii="仿宋_GB2312" w:hAnsi="微软雅黑" w:eastAsia="仿宋_GB2312" w:cs="宋体"/>
          <w:color w:val="454545"/>
          <w:kern w:val="0"/>
          <w:sz w:val="32"/>
          <w:szCs w:val="32"/>
        </w:rPr>
      </w:pPr>
    </w:p>
    <w:p>
      <w:pPr>
        <w:widowControl/>
        <w:jc w:val="left"/>
        <w:rPr>
          <w:rFonts w:ascii="仿宋_GB2312" w:hAnsi="微软雅黑" w:eastAsia="仿宋_GB2312" w:cs="宋体"/>
          <w:color w:val="454545"/>
          <w:kern w:val="0"/>
          <w:sz w:val="32"/>
          <w:szCs w:val="32"/>
        </w:rPr>
      </w:pPr>
      <w:r>
        <w:rPr>
          <w:rFonts w:hint="eastAsia" w:ascii="仿宋_GB2312" w:hAnsi="微软雅黑" w:eastAsia="仿宋_GB2312" w:cs="宋体"/>
          <w:color w:val="454545"/>
          <w:kern w:val="0"/>
          <w:sz w:val="32"/>
          <w:szCs w:val="32"/>
        </w:rPr>
        <w:t>附件1</w:t>
      </w:r>
    </w:p>
    <w:tbl>
      <w:tblPr>
        <w:tblStyle w:val="8"/>
        <w:tblpPr w:leftFromText="180" w:rightFromText="180" w:vertAnchor="text" w:horzAnchor="margin" w:tblpY="221"/>
        <w:tblW w:w="9039" w:type="dxa"/>
        <w:tblInd w:w="0" w:type="dxa"/>
        <w:tblLayout w:type="fixed"/>
        <w:tblCellMar>
          <w:top w:w="0" w:type="dxa"/>
          <w:left w:w="108" w:type="dxa"/>
          <w:bottom w:w="0" w:type="dxa"/>
          <w:right w:w="108" w:type="dxa"/>
        </w:tblCellMar>
      </w:tblPr>
      <w:tblGrid>
        <w:gridCol w:w="2900"/>
        <w:gridCol w:w="900"/>
        <w:gridCol w:w="3254"/>
        <w:gridCol w:w="1985"/>
      </w:tblGrid>
      <w:tr>
        <w:tblPrEx>
          <w:tblLayout w:type="fixed"/>
          <w:tblCellMar>
            <w:top w:w="0" w:type="dxa"/>
            <w:left w:w="108" w:type="dxa"/>
            <w:bottom w:w="0" w:type="dxa"/>
            <w:right w:w="108" w:type="dxa"/>
          </w:tblCellMar>
        </w:tblPrEx>
        <w:trPr>
          <w:trHeight w:val="570" w:hRule="atLeast"/>
        </w:trPr>
        <w:tc>
          <w:tcPr>
            <w:tcW w:w="9039" w:type="dxa"/>
            <w:gridSpan w:val="4"/>
            <w:tcBorders>
              <w:top w:val="nil"/>
              <w:left w:val="nil"/>
              <w:bottom w:val="nil"/>
              <w:right w:val="nil"/>
            </w:tcBorders>
            <w:shd w:val="clear" w:color="auto" w:fill="auto"/>
            <w:vAlign w:val="center"/>
          </w:tcPr>
          <w:p>
            <w:pPr>
              <w:widowControl/>
              <w:jc w:val="center"/>
              <w:rPr>
                <w:rFonts w:cs="宋体" w:asciiTheme="majorEastAsia" w:hAnsiTheme="majorEastAsia" w:eastAsiaTheme="majorEastAsia"/>
                <w:kern w:val="0"/>
                <w:sz w:val="44"/>
                <w:szCs w:val="44"/>
              </w:rPr>
            </w:pPr>
            <w:r>
              <w:rPr>
                <w:rFonts w:hint="eastAsia" w:cs="宋体" w:asciiTheme="majorEastAsia" w:hAnsiTheme="majorEastAsia" w:eastAsiaTheme="majorEastAsia"/>
                <w:kern w:val="0"/>
                <w:sz w:val="44"/>
                <w:szCs w:val="44"/>
              </w:rPr>
              <w:t>2017年市级部门收支预算总表</w:t>
            </w:r>
          </w:p>
        </w:tc>
      </w:tr>
      <w:tr>
        <w:tblPrEx>
          <w:tblLayout w:type="fixed"/>
          <w:tblCellMar>
            <w:top w:w="0" w:type="dxa"/>
            <w:left w:w="108" w:type="dxa"/>
            <w:bottom w:w="0" w:type="dxa"/>
            <w:right w:w="108" w:type="dxa"/>
          </w:tblCellMar>
        </w:tblPrEx>
        <w:trPr>
          <w:trHeight w:val="300" w:hRule="atLeast"/>
        </w:trPr>
        <w:tc>
          <w:tcPr>
            <w:tcW w:w="9039" w:type="dxa"/>
            <w:gridSpan w:val="4"/>
            <w:tcBorders>
              <w:top w:val="nil"/>
              <w:left w:val="nil"/>
              <w:bottom w:val="nil"/>
            </w:tcBorders>
            <w:shd w:val="clear" w:color="auto" w:fill="auto"/>
            <w:vAlign w:val="center"/>
          </w:tcPr>
          <w:p>
            <w:pPr>
              <w:widowControl/>
              <w:jc w:val="left"/>
              <w:rPr>
                <w:rFonts w:ascii="方正书宋_GBK" w:hAnsi="方正书宋_GBK" w:cs="宋体"/>
                <w:kern w:val="0"/>
                <w:szCs w:val="21"/>
              </w:rPr>
            </w:pPr>
            <w:r>
              <w:rPr>
                <w:rFonts w:ascii="方正书宋_GBK" w:hAnsi="方正书宋_GBK" w:cs="宋体"/>
                <w:kern w:val="0"/>
                <w:szCs w:val="21"/>
              </w:rPr>
              <w:t>部门名称：温州市</w:t>
            </w:r>
            <w:r>
              <w:rPr>
                <w:rFonts w:hint="eastAsia" w:ascii="方正书宋_GBK" w:hAnsi="方正书宋_GBK" w:cs="宋体"/>
                <w:kern w:val="0"/>
                <w:szCs w:val="21"/>
              </w:rPr>
              <w:t xml:space="preserve">红十字会                                                </w:t>
            </w:r>
            <w:r>
              <w:rPr>
                <w:rFonts w:ascii="方正书宋_GBK" w:hAnsi="方正书宋_GBK" w:cs="宋体"/>
                <w:kern w:val="0"/>
                <w:szCs w:val="21"/>
              </w:rPr>
              <w:t>单位：万元</w:t>
            </w:r>
          </w:p>
        </w:tc>
      </w:tr>
      <w:tr>
        <w:tblPrEx>
          <w:tblLayout w:type="fixed"/>
          <w:tblCellMar>
            <w:top w:w="0" w:type="dxa"/>
            <w:left w:w="108" w:type="dxa"/>
            <w:bottom w:w="0" w:type="dxa"/>
            <w:right w:w="108" w:type="dxa"/>
          </w:tblCellMar>
        </w:tblPrEx>
        <w:trPr>
          <w:trHeight w:val="330" w:hRule="atLeast"/>
        </w:trPr>
        <w:tc>
          <w:tcPr>
            <w:tcW w:w="3800" w:type="dxa"/>
            <w:gridSpan w:val="2"/>
            <w:tcBorders>
              <w:top w:val="single" w:color="auto" w:sz="4" w:space="0"/>
              <w:left w:val="single" w:color="auto" w:sz="4" w:space="0"/>
              <w:bottom w:val="single" w:color="auto" w:sz="4" w:space="0"/>
              <w:right w:val="nil"/>
            </w:tcBorders>
            <w:shd w:val="clear" w:color="auto" w:fill="auto"/>
            <w:vAlign w:val="center"/>
          </w:tcPr>
          <w:p>
            <w:pPr>
              <w:widowControl/>
              <w:jc w:val="center"/>
              <w:rPr>
                <w:rFonts w:ascii="方正书宋_GBK" w:hAnsi="方正书宋_GBK" w:cs="宋体"/>
                <w:kern w:val="0"/>
                <w:szCs w:val="21"/>
              </w:rPr>
            </w:pPr>
            <w:r>
              <w:rPr>
                <w:rFonts w:ascii="方正书宋_GBK" w:hAnsi="方正书宋_GBK" w:cs="宋体"/>
                <w:kern w:val="0"/>
                <w:szCs w:val="21"/>
              </w:rPr>
              <w:t>收                    入</w:t>
            </w:r>
          </w:p>
        </w:tc>
        <w:tc>
          <w:tcPr>
            <w:tcW w:w="5239" w:type="dxa"/>
            <w:gridSpan w:val="2"/>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center"/>
              <w:rPr>
                <w:rFonts w:ascii="方正书宋_GBK" w:hAnsi="方正书宋_GBK" w:cs="宋体"/>
                <w:kern w:val="0"/>
                <w:szCs w:val="21"/>
              </w:rPr>
            </w:pPr>
            <w:r>
              <w:rPr>
                <w:rFonts w:ascii="方正书宋_GBK" w:hAnsi="方正书宋_GBK" w:cs="宋体"/>
                <w:kern w:val="0"/>
                <w:szCs w:val="21"/>
              </w:rPr>
              <w:t>支                    出</w:t>
            </w:r>
          </w:p>
        </w:tc>
      </w:tr>
      <w:tr>
        <w:tblPrEx>
          <w:tblLayout w:type="fixed"/>
          <w:tblCellMar>
            <w:top w:w="0" w:type="dxa"/>
            <w:left w:w="108" w:type="dxa"/>
            <w:bottom w:w="0" w:type="dxa"/>
            <w:right w:w="108" w:type="dxa"/>
          </w:tblCellMar>
        </w:tblPrEx>
        <w:trPr>
          <w:trHeight w:val="315" w:hRule="atLeast"/>
        </w:trPr>
        <w:tc>
          <w:tcPr>
            <w:tcW w:w="29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书宋_GBK" w:hAnsi="方正书宋_GBK" w:cs="宋体"/>
                <w:kern w:val="0"/>
                <w:szCs w:val="21"/>
              </w:rPr>
            </w:pPr>
            <w:r>
              <w:rPr>
                <w:rFonts w:ascii="方正书宋_GBK" w:hAnsi="方正书宋_GBK" w:cs="宋体"/>
                <w:kern w:val="0"/>
                <w:szCs w:val="21"/>
              </w:rPr>
              <w:t>项               目</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方正书宋_GBK" w:hAnsi="方正书宋_GBK" w:cs="宋体"/>
                <w:kern w:val="0"/>
                <w:szCs w:val="21"/>
              </w:rPr>
            </w:pPr>
            <w:r>
              <w:rPr>
                <w:rFonts w:ascii="方正书宋_GBK" w:hAnsi="方正书宋_GBK" w:cs="宋体"/>
                <w:kern w:val="0"/>
                <w:szCs w:val="21"/>
              </w:rPr>
              <w:t>预算数</w:t>
            </w:r>
          </w:p>
        </w:tc>
        <w:tc>
          <w:tcPr>
            <w:tcW w:w="3254"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center"/>
              <w:rPr>
                <w:rFonts w:ascii="方正书宋_GBK" w:hAnsi="方正书宋_GBK" w:cs="宋体"/>
                <w:kern w:val="0"/>
                <w:szCs w:val="21"/>
              </w:rPr>
            </w:pPr>
            <w:r>
              <w:rPr>
                <w:rFonts w:ascii="方正书宋_GBK" w:hAnsi="方正书宋_GBK" w:cs="宋体"/>
                <w:kern w:val="0"/>
                <w:szCs w:val="21"/>
              </w:rPr>
              <w:t>项                        目</w:t>
            </w:r>
          </w:p>
        </w:tc>
        <w:tc>
          <w:tcPr>
            <w:tcW w:w="1985" w:type="dxa"/>
            <w:tcBorders>
              <w:top w:val="single" w:color="000000" w:sz="4" w:space="0"/>
              <w:left w:val="nil"/>
              <w:bottom w:val="single" w:color="auto" w:sz="4" w:space="0"/>
              <w:right w:val="single" w:color="000000" w:sz="4" w:space="0"/>
            </w:tcBorders>
            <w:shd w:val="clear" w:color="auto" w:fill="auto"/>
            <w:vAlign w:val="center"/>
          </w:tcPr>
          <w:p>
            <w:pPr>
              <w:widowControl/>
              <w:jc w:val="center"/>
              <w:rPr>
                <w:rFonts w:ascii="方正书宋_GBK" w:hAnsi="方正书宋_GBK" w:cs="宋体"/>
                <w:kern w:val="0"/>
                <w:szCs w:val="21"/>
              </w:rPr>
            </w:pPr>
            <w:r>
              <w:rPr>
                <w:rFonts w:ascii="方正书宋_GBK" w:hAnsi="方正书宋_GBK" w:cs="宋体"/>
                <w:kern w:val="0"/>
                <w:szCs w:val="21"/>
              </w:rPr>
              <w:t>预算数</w:t>
            </w:r>
          </w:p>
        </w:tc>
      </w:tr>
      <w:tr>
        <w:tblPrEx>
          <w:tblLayout w:type="fixed"/>
          <w:tblCellMar>
            <w:top w:w="0" w:type="dxa"/>
            <w:left w:w="108" w:type="dxa"/>
            <w:bottom w:w="0" w:type="dxa"/>
            <w:right w:w="108" w:type="dxa"/>
          </w:tblCellMar>
        </w:tblPrEx>
        <w:trPr>
          <w:trHeight w:val="315" w:hRule="atLeast"/>
        </w:trPr>
        <w:tc>
          <w:tcPr>
            <w:tcW w:w="29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方正书宋_GBK" w:hAnsi="方正书宋_GBK" w:cs="宋体"/>
                <w:kern w:val="0"/>
                <w:szCs w:val="21"/>
              </w:rPr>
            </w:pPr>
            <w:r>
              <w:rPr>
                <w:rFonts w:ascii="方正书宋_GBK" w:hAnsi="方正书宋_GBK" w:cs="宋体"/>
                <w:kern w:val="0"/>
                <w:szCs w:val="21"/>
              </w:rPr>
              <w:t>一、财政拨款</w:t>
            </w:r>
          </w:p>
        </w:tc>
        <w:tc>
          <w:tcPr>
            <w:tcW w:w="90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Cs w:val="21"/>
              </w:rPr>
            </w:pPr>
            <w:r>
              <w:rPr>
                <w:rFonts w:hint="eastAsia" w:ascii="宋体" w:hAnsi="宋体" w:cs="宋体"/>
                <w:kern w:val="0"/>
                <w:szCs w:val="21"/>
              </w:rPr>
              <w:t>401.59　</w:t>
            </w:r>
          </w:p>
        </w:tc>
        <w:tc>
          <w:tcPr>
            <w:tcW w:w="3254"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合计</w:t>
            </w:r>
          </w:p>
        </w:tc>
        <w:tc>
          <w:tcPr>
            <w:tcW w:w="1985" w:type="dxa"/>
            <w:tcBorders>
              <w:top w:val="single" w:color="000000" w:sz="4" w:space="0"/>
              <w:left w:val="nil"/>
              <w:bottom w:val="single" w:color="auto" w:sz="4" w:space="0"/>
              <w:right w:val="single" w:color="000000" w:sz="4" w:space="0"/>
            </w:tcBorders>
            <w:shd w:val="clear" w:color="auto" w:fill="auto"/>
            <w:vAlign w:val="center"/>
          </w:tcPr>
          <w:p>
            <w:pPr>
              <w:widowControl/>
              <w:jc w:val="right"/>
              <w:rPr>
                <w:rFonts w:ascii="宋体" w:hAnsi="宋体" w:cs="宋体"/>
                <w:kern w:val="0"/>
                <w:szCs w:val="21"/>
              </w:rPr>
            </w:pPr>
            <w:r>
              <w:rPr>
                <w:rFonts w:hint="eastAsia" w:ascii="宋体" w:hAnsi="宋体" w:cs="宋体"/>
                <w:kern w:val="0"/>
                <w:szCs w:val="21"/>
              </w:rPr>
              <w:t>401.59　</w:t>
            </w:r>
          </w:p>
        </w:tc>
      </w:tr>
      <w:tr>
        <w:tblPrEx>
          <w:tblLayout w:type="fixed"/>
          <w:tblCellMar>
            <w:top w:w="0" w:type="dxa"/>
            <w:left w:w="108" w:type="dxa"/>
            <w:bottom w:w="0" w:type="dxa"/>
            <w:right w:w="108" w:type="dxa"/>
          </w:tblCellMar>
        </w:tblPrEx>
        <w:trPr>
          <w:trHeight w:val="315" w:hRule="atLeast"/>
        </w:trPr>
        <w:tc>
          <w:tcPr>
            <w:tcW w:w="29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方正书宋_GBK" w:hAnsi="方正书宋_GBK" w:cs="宋体"/>
                <w:kern w:val="0"/>
                <w:szCs w:val="21"/>
              </w:rPr>
            </w:pPr>
            <w:r>
              <w:rPr>
                <w:rFonts w:ascii="方正书宋_GBK" w:hAnsi="方正书宋_GBK" w:cs="宋体"/>
                <w:kern w:val="0"/>
                <w:szCs w:val="21"/>
              </w:rPr>
              <w:t xml:space="preserve">    一般公共预算</w:t>
            </w:r>
          </w:p>
        </w:tc>
        <w:tc>
          <w:tcPr>
            <w:tcW w:w="90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Cs w:val="21"/>
              </w:rPr>
            </w:pPr>
            <w:r>
              <w:rPr>
                <w:rFonts w:hint="eastAsia" w:ascii="宋体" w:hAnsi="宋体" w:cs="宋体"/>
                <w:kern w:val="0"/>
                <w:szCs w:val="21"/>
              </w:rPr>
              <w:t>401.59　</w:t>
            </w:r>
          </w:p>
        </w:tc>
        <w:tc>
          <w:tcPr>
            <w:tcW w:w="3254" w:type="dxa"/>
            <w:tcBorders>
              <w:top w:val="single" w:color="000000" w:sz="4" w:space="0"/>
              <w:left w:val="single" w:color="000000" w:sz="4" w:space="0"/>
              <w:bottom w:val="single" w:color="auto" w:sz="4" w:space="0"/>
              <w:right w:val="single" w:color="000000" w:sz="4" w:space="0"/>
            </w:tcBorders>
            <w:shd w:val="clear" w:color="auto" w:fill="auto"/>
            <w:vAlign w:val="center"/>
          </w:tcPr>
          <w:p>
            <w:pPr>
              <w:rPr>
                <w:rFonts w:ascii="宋体" w:hAnsi="宋体" w:cs="宋体"/>
                <w:b/>
                <w:szCs w:val="21"/>
              </w:rPr>
            </w:pPr>
            <w:r>
              <w:rPr>
                <w:rFonts w:hint="eastAsia"/>
                <w:b/>
                <w:szCs w:val="21"/>
              </w:rPr>
              <w:t>社会保障和就业支出</w:t>
            </w:r>
          </w:p>
        </w:tc>
        <w:tc>
          <w:tcPr>
            <w:tcW w:w="1985" w:type="dxa"/>
            <w:tcBorders>
              <w:top w:val="single" w:color="000000" w:sz="4" w:space="0"/>
              <w:left w:val="nil"/>
              <w:bottom w:val="single" w:color="auto" w:sz="4" w:space="0"/>
              <w:right w:val="single" w:color="000000" w:sz="4" w:space="0"/>
            </w:tcBorders>
            <w:shd w:val="clear" w:color="auto" w:fill="auto"/>
            <w:vAlign w:val="center"/>
          </w:tcPr>
          <w:p>
            <w:pPr>
              <w:widowControl/>
              <w:jc w:val="right"/>
              <w:rPr>
                <w:rFonts w:ascii="宋体" w:hAnsi="宋体" w:cs="宋体"/>
                <w:b/>
                <w:kern w:val="0"/>
                <w:szCs w:val="21"/>
              </w:rPr>
            </w:pPr>
            <w:r>
              <w:rPr>
                <w:rFonts w:hint="eastAsia" w:ascii="宋体" w:hAnsi="宋体" w:cs="宋体"/>
                <w:b/>
                <w:kern w:val="0"/>
                <w:szCs w:val="21"/>
              </w:rPr>
              <w:t>378.74　</w:t>
            </w:r>
          </w:p>
        </w:tc>
      </w:tr>
      <w:tr>
        <w:tblPrEx>
          <w:tblLayout w:type="fixed"/>
          <w:tblCellMar>
            <w:top w:w="0" w:type="dxa"/>
            <w:left w:w="108" w:type="dxa"/>
            <w:bottom w:w="0" w:type="dxa"/>
            <w:right w:w="108" w:type="dxa"/>
          </w:tblCellMar>
        </w:tblPrEx>
        <w:trPr>
          <w:trHeight w:val="315" w:hRule="atLeast"/>
        </w:trPr>
        <w:tc>
          <w:tcPr>
            <w:tcW w:w="29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方正书宋_GBK" w:hAnsi="方正书宋_GBK" w:cs="宋体"/>
                <w:kern w:val="0"/>
                <w:szCs w:val="21"/>
              </w:rPr>
            </w:pPr>
            <w:r>
              <w:rPr>
                <w:rFonts w:ascii="方正书宋_GBK" w:hAnsi="方正书宋_GBK" w:cs="宋体"/>
                <w:kern w:val="0"/>
                <w:szCs w:val="21"/>
              </w:rPr>
              <w:t xml:space="preserve">    政府性基金预算</w:t>
            </w:r>
          </w:p>
        </w:tc>
        <w:tc>
          <w:tcPr>
            <w:tcW w:w="90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Cs w:val="21"/>
              </w:rPr>
            </w:pPr>
            <w:r>
              <w:rPr>
                <w:rFonts w:hint="eastAsia" w:ascii="宋体" w:hAnsi="宋体" w:cs="宋体"/>
                <w:kern w:val="0"/>
                <w:szCs w:val="21"/>
              </w:rPr>
              <w:t>　</w:t>
            </w:r>
          </w:p>
        </w:tc>
        <w:tc>
          <w:tcPr>
            <w:tcW w:w="3254" w:type="dxa"/>
            <w:tcBorders>
              <w:top w:val="single" w:color="000000" w:sz="4" w:space="0"/>
              <w:left w:val="single" w:color="000000" w:sz="4" w:space="0"/>
              <w:bottom w:val="single" w:color="auto" w:sz="4" w:space="0"/>
              <w:right w:val="single" w:color="000000" w:sz="4" w:space="0"/>
            </w:tcBorders>
            <w:shd w:val="clear" w:color="auto" w:fill="auto"/>
            <w:vAlign w:val="center"/>
          </w:tcPr>
          <w:p>
            <w:pPr>
              <w:rPr>
                <w:rFonts w:ascii="宋体" w:hAnsi="宋体" w:cs="宋体"/>
                <w:b/>
                <w:szCs w:val="21"/>
              </w:rPr>
            </w:pPr>
            <w:r>
              <w:rPr>
                <w:rFonts w:hint="eastAsia"/>
                <w:b/>
                <w:szCs w:val="21"/>
              </w:rPr>
              <w:t xml:space="preserve">  红十字事业</w:t>
            </w:r>
          </w:p>
        </w:tc>
        <w:tc>
          <w:tcPr>
            <w:tcW w:w="1985" w:type="dxa"/>
            <w:tcBorders>
              <w:top w:val="single" w:color="000000" w:sz="4" w:space="0"/>
              <w:left w:val="nil"/>
              <w:bottom w:val="single" w:color="auto" w:sz="4" w:space="0"/>
              <w:right w:val="single" w:color="000000" w:sz="4" w:space="0"/>
            </w:tcBorders>
            <w:shd w:val="clear" w:color="auto" w:fill="auto"/>
            <w:vAlign w:val="center"/>
          </w:tcPr>
          <w:p>
            <w:pPr>
              <w:widowControl/>
              <w:jc w:val="right"/>
              <w:rPr>
                <w:rFonts w:ascii="宋体" w:hAnsi="宋体" w:cs="宋体"/>
                <w:b/>
                <w:kern w:val="0"/>
                <w:szCs w:val="21"/>
              </w:rPr>
            </w:pPr>
            <w:r>
              <w:rPr>
                <w:rFonts w:hint="eastAsia" w:ascii="宋体" w:hAnsi="宋体" w:cs="宋体"/>
                <w:b/>
                <w:kern w:val="0"/>
                <w:szCs w:val="21"/>
              </w:rPr>
              <w:t>378.74　</w:t>
            </w:r>
          </w:p>
        </w:tc>
      </w:tr>
      <w:tr>
        <w:tblPrEx>
          <w:tblLayout w:type="fixed"/>
          <w:tblCellMar>
            <w:top w:w="0" w:type="dxa"/>
            <w:left w:w="108" w:type="dxa"/>
            <w:bottom w:w="0" w:type="dxa"/>
            <w:right w:w="108" w:type="dxa"/>
          </w:tblCellMar>
        </w:tblPrEx>
        <w:trPr>
          <w:trHeight w:val="315" w:hRule="atLeast"/>
        </w:trPr>
        <w:tc>
          <w:tcPr>
            <w:tcW w:w="29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方正书宋_GBK" w:hAnsi="方正书宋_GBK" w:cs="宋体"/>
                <w:kern w:val="0"/>
                <w:szCs w:val="21"/>
              </w:rPr>
            </w:pPr>
            <w:r>
              <w:rPr>
                <w:rFonts w:ascii="方正书宋_GBK" w:hAnsi="方正书宋_GBK" w:cs="宋体"/>
                <w:kern w:val="0"/>
                <w:szCs w:val="21"/>
              </w:rPr>
              <w:t>二、专户资金</w:t>
            </w:r>
          </w:p>
        </w:tc>
        <w:tc>
          <w:tcPr>
            <w:tcW w:w="90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Cs w:val="21"/>
              </w:rPr>
            </w:pPr>
            <w:r>
              <w:rPr>
                <w:rFonts w:hint="eastAsia" w:ascii="宋体" w:hAnsi="宋体" w:cs="宋体"/>
                <w:kern w:val="0"/>
                <w:szCs w:val="21"/>
              </w:rPr>
              <w:t>　</w:t>
            </w:r>
          </w:p>
        </w:tc>
        <w:tc>
          <w:tcPr>
            <w:tcW w:w="3254"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 xml:space="preserve">      行政运行</w:t>
            </w:r>
          </w:p>
        </w:tc>
        <w:tc>
          <w:tcPr>
            <w:tcW w:w="1985" w:type="dxa"/>
            <w:tcBorders>
              <w:top w:val="single" w:color="000000" w:sz="4" w:space="0"/>
              <w:left w:val="nil"/>
              <w:bottom w:val="single" w:color="auto" w:sz="4" w:space="0"/>
              <w:right w:val="single" w:color="000000" w:sz="4" w:space="0"/>
            </w:tcBorders>
            <w:shd w:val="clear" w:color="auto" w:fill="auto"/>
            <w:vAlign w:val="center"/>
          </w:tcPr>
          <w:p>
            <w:pPr>
              <w:widowControl/>
              <w:jc w:val="right"/>
              <w:rPr>
                <w:rFonts w:ascii="宋体" w:hAnsi="宋体" w:cs="宋体"/>
                <w:kern w:val="0"/>
                <w:szCs w:val="21"/>
              </w:rPr>
            </w:pPr>
            <w:r>
              <w:rPr>
                <w:rFonts w:hint="eastAsia" w:ascii="宋体" w:hAnsi="宋体" w:cs="宋体"/>
                <w:kern w:val="0"/>
                <w:szCs w:val="21"/>
              </w:rPr>
              <w:t>200.18　</w:t>
            </w:r>
          </w:p>
        </w:tc>
      </w:tr>
      <w:tr>
        <w:tblPrEx>
          <w:tblLayout w:type="fixed"/>
          <w:tblCellMar>
            <w:top w:w="0" w:type="dxa"/>
            <w:left w:w="108" w:type="dxa"/>
            <w:bottom w:w="0" w:type="dxa"/>
            <w:right w:w="108" w:type="dxa"/>
          </w:tblCellMar>
        </w:tblPrEx>
        <w:trPr>
          <w:trHeight w:val="315" w:hRule="atLeast"/>
        </w:trPr>
        <w:tc>
          <w:tcPr>
            <w:tcW w:w="29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方正书宋_GBK" w:hAnsi="方正书宋_GBK" w:cs="宋体"/>
                <w:kern w:val="0"/>
                <w:szCs w:val="21"/>
              </w:rPr>
            </w:pPr>
            <w:r>
              <w:rPr>
                <w:rFonts w:ascii="方正书宋_GBK" w:hAnsi="方正书宋_GBK" w:cs="宋体"/>
                <w:kern w:val="0"/>
                <w:szCs w:val="21"/>
              </w:rPr>
              <w:t>三、单位结余</w:t>
            </w:r>
          </w:p>
        </w:tc>
        <w:tc>
          <w:tcPr>
            <w:tcW w:w="90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Cs w:val="21"/>
              </w:rPr>
            </w:pPr>
            <w:r>
              <w:rPr>
                <w:rFonts w:hint="eastAsia" w:ascii="宋体" w:hAnsi="宋体" w:cs="宋体"/>
                <w:kern w:val="0"/>
                <w:szCs w:val="21"/>
              </w:rPr>
              <w:t>　</w:t>
            </w:r>
          </w:p>
        </w:tc>
        <w:tc>
          <w:tcPr>
            <w:tcW w:w="3254"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 xml:space="preserve">      一般行政管理事务</w:t>
            </w:r>
          </w:p>
        </w:tc>
        <w:tc>
          <w:tcPr>
            <w:tcW w:w="1985" w:type="dxa"/>
            <w:tcBorders>
              <w:top w:val="single" w:color="000000" w:sz="4" w:space="0"/>
              <w:left w:val="nil"/>
              <w:bottom w:val="single" w:color="auto" w:sz="4" w:space="0"/>
              <w:right w:val="single" w:color="000000" w:sz="4" w:space="0"/>
            </w:tcBorders>
            <w:shd w:val="clear" w:color="auto" w:fill="auto"/>
            <w:vAlign w:val="center"/>
          </w:tcPr>
          <w:p>
            <w:pPr>
              <w:widowControl/>
              <w:jc w:val="right"/>
              <w:rPr>
                <w:rFonts w:ascii="宋体" w:hAnsi="宋体" w:cs="宋体"/>
                <w:kern w:val="0"/>
                <w:szCs w:val="21"/>
              </w:rPr>
            </w:pPr>
            <w:r>
              <w:rPr>
                <w:rFonts w:hint="eastAsia" w:ascii="宋体" w:hAnsi="宋体" w:cs="宋体"/>
                <w:kern w:val="0"/>
                <w:szCs w:val="21"/>
              </w:rPr>
              <w:t>28.56　</w:t>
            </w:r>
          </w:p>
        </w:tc>
      </w:tr>
      <w:tr>
        <w:tblPrEx>
          <w:tblLayout w:type="fixed"/>
          <w:tblCellMar>
            <w:top w:w="0" w:type="dxa"/>
            <w:left w:w="108" w:type="dxa"/>
            <w:bottom w:w="0" w:type="dxa"/>
            <w:right w:w="108" w:type="dxa"/>
          </w:tblCellMar>
        </w:tblPrEx>
        <w:trPr>
          <w:trHeight w:val="315" w:hRule="atLeast"/>
        </w:trPr>
        <w:tc>
          <w:tcPr>
            <w:tcW w:w="29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方正书宋_GBK" w:hAnsi="方正书宋_GBK" w:cs="宋体"/>
                <w:kern w:val="0"/>
                <w:szCs w:val="21"/>
              </w:rPr>
            </w:pPr>
            <w:r>
              <w:rPr>
                <w:rFonts w:ascii="方正书宋_GBK" w:hAnsi="方正书宋_GBK" w:cs="宋体"/>
                <w:kern w:val="0"/>
                <w:szCs w:val="21"/>
              </w:rPr>
              <w:t>四、事业收入（不含专户资金）</w:t>
            </w:r>
          </w:p>
        </w:tc>
        <w:tc>
          <w:tcPr>
            <w:tcW w:w="900"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Cs w:val="21"/>
              </w:rPr>
            </w:pPr>
            <w:r>
              <w:rPr>
                <w:rFonts w:hint="eastAsia" w:ascii="宋体" w:hAnsi="宋体" w:cs="宋体"/>
                <w:kern w:val="0"/>
                <w:szCs w:val="21"/>
              </w:rPr>
              <w:t>　</w:t>
            </w:r>
          </w:p>
        </w:tc>
        <w:tc>
          <w:tcPr>
            <w:tcW w:w="3254"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 xml:space="preserve">      其他红十字事业支出</w:t>
            </w:r>
          </w:p>
        </w:tc>
        <w:tc>
          <w:tcPr>
            <w:tcW w:w="1985" w:type="dxa"/>
            <w:tcBorders>
              <w:top w:val="single" w:color="000000" w:sz="4" w:space="0"/>
              <w:left w:val="nil"/>
              <w:bottom w:val="single" w:color="auto" w:sz="4" w:space="0"/>
              <w:right w:val="single" w:color="000000" w:sz="4" w:space="0"/>
            </w:tcBorders>
            <w:shd w:val="clear" w:color="auto" w:fill="auto"/>
            <w:vAlign w:val="center"/>
          </w:tcPr>
          <w:p>
            <w:pPr>
              <w:widowControl/>
              <w:jc w:val="right"/>
              <w:rPr>
                <w:rFonts w:ascii="宋体" w:hAnsi="宋体" w:cs="宋体"/>
                <w:kern w:val="0"/>
                <w:szCs w:val="21"/>
              </w:rPr>
            </w:pPr>
            <w:r>
              <w:rPr>
                <w:rFonts w:hint="eastAsia" w:ascii="宋体" w:hAnsi="宋体" w:cs="宋体"/>
                <w:kern w:val="0"/>
                <w:szCs w:val="21"/>
              </w:rPr>
              <w:t>150　</w:t>
            </w:r>
          </w:p>
        </w:tc>
      </w:tr>
      <w:tr>
        <w:tblPrEx>
          <w:tblLayout w:type="fixed"/>
          <w:tblCellMar>
            <w:top w:w="0" w:type="dxa"/>
            <w:left w:w="108" w:type="dxa"/>
            <w:bottom w:w="0" w:type="dxa"/>
            <w:right w:w="108" w:type="dxa"/>
          </w:tblCellMar>
        </w:tblPrEx>
        <w:trPr>
          <w:trHeight w:val="315" w:hRule="atLeast"/>
        </w:trPr>
        <w:tc>
          <w:tcPr>
            <w:tcW w:w="29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方正书宋_GBK" w:hAnsi="方正书宋_GBK" w:cs="宋体"/>
                <w:kern w:val="0"/>
                <w:szCs w:val="21"/>
              </w:rPr>
            </w:pPr>
            <w:r>
              <w:rPr>
                <w:rFonts w:ascii="方正书宋_GBK" w:hAnsi="方正书宋_GBK" w:cs="宋体"/>
                <w:kern w:val="0"/>
                <w:szCs w:val="21"/>
              </w:rPr>
              <w:t>五、事业单位经营收入</w:t>
            </w:r>
          </w:p>
        </w:tc>
        <w:tc>
          <w:tcPr>
            <w:tcW w:w="900"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Cs w:val="21"/>
              </w:rPr>
            </w:pPr>
            <w:r>
              <w:rPr>
                <w:rFonts w:hint="eastAsia" w:ascii="宋体" w:hAnsi="宋体" w:cs="宋体"/>
                <w:kern w:val="0"/>
                <w:szCs w:val="21"/>
              </w:rPr>
              <w:t>　</w:t>
            </w:r>
          </w:p>
        </w:tc>
        <w:tc>
          <w:tcPr>
            <w:tcW w:w="3254"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left"/>
              <w:rPr>
                <w:rFonts w:ascii="宋体" w:hAnsi="宋体" w:cs="宋体"/>
                <w:b/>
                <w:kern w:val="0"/>
                <w:szCs w:val="21"/>
              </w:rPr>
            </w:pPr>
            <w:r>
              <w:rPr>
                <w:rFonts w:hint="eastAsia" w:ascii="宋体" w:hAnsi="宋体" w:cs="宋体"/>
                <w:b/>
                <w:kern w:val="0"/>
                <w:szCs w:val="21"/>
              </w:rPr>
              <w:t>医疗卫生与计划生育支出</w:t>
            </w:r>
          </w:p>
        </w:tc>
        <w:tc>
          <w:tcPr>
            <w:tcW w:w="1985" w:type="dxa"/>
            <w:tcBorders>
              <w:top w:val="single" w:color="000000" w:sz="4" w:space="0"/>
              <w:left w:val="nil"/>
              <w:bottom w:val="single" w:color="auto" w:sz="4" w:space="0"/>
              <w:right w:val="single" w:color="000000" w:sz="4" w:space="0"/>
            </w:tcBorders>
            <w:shd w:val="clear" w:color="auto" w:fill="auto"/>
            <w:vAlign w:val="center"/>
          </w:tcPr>
          <w:p>
            <w:pPr>
              <w:widowControl/>
              <w:jc w:val="right"/>
              <w:rPr>
                <w:rFonts w:ascii="宋体" w:hAnsi="宋体" w:cs="宋体"/>
                <w:b/>
                <w:kern w:val="0"/>
                <w:szCs w:val="21"/>
              </w:rPr>
            </w:pPr>
            <w:r>
              <w:rPr>
                <w:rFonts w:hint="eastAsia" w:ascii="宋体" w:hAnsi="宋体" w:cs="宋体"/>
                <w:b/>
                <w:kern w:val="0"/>
                <w:szCs w:val="21"/>
              </w:rPr>
              <w:t>9.45　</w:t>
            </w:r>
          </w:p>
        </w:tc>
      </w:tr>
      <w:tr>
        <w:tblPrEx>
          <w:tblLayout w:type="fixed"/>
          <w:tblCellMar>
            <w:top w:w="0" w:type="dxa"/>
            <w:left w:w="108" w:type="dxa"/>
            <w:bottom w:w="0" w:type="dxa"/>
            <w:right w:w="108" w:type="dxa"/>
          </w:tblCellMar>
        </w:tblPrEx>
        <w:trPr>
          <w:trHeight w:val="315" w:hRule="atLeast"/>
        </w:trPr>
        <w:tc>
          <w:tcPr>
            <w:tcW w:w="29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方正书宋_GBK" w:hAnsi="方正书宋_GBK" w:cs="宋体"/>
                <w:kern w:val="0"/>
                <w:szCs w:val="21"/>
              </w:rPr>
            </w:pPr>
            <w:r>
              <w:rPr>
                <w:rFonts w:ascii="方正书宋_GBK" w:hAnsi="方正书宋_GBK" w:cs="宋体"/>
                <w:kern w:val="0"/>
                <w:szCs w:val="21"/>
              </w:rPr>
              <w:t>六、其他收入</w:t>
            </w:r>
          </w:p>
        </w:tc>
        <w:tc>
          <w:tcPr>
            <w:tcW w:w="90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Cs w:val="21"/>
              </w:rPr>
            </w:pPr>
            <w:r>
              <w:rPr>
                <w:rFonts w:hint="eastAsia" w:ascii="宋体" w:hAnsi="宋体" w:cs="宋体"/>
                <w:kern w:val="0"/>
                <w:szCs w:val="21"/>
              </w:rPr>
              <w:t>　</w:t>
            </w:r>
          </w:p>
        </w:tc>
        <w:tc>
          <w:tcPr>
            <w:tcW w:w="3254"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left"/>
              <w:rPr>
                <w:rFonts w:ascii="宋体" w:hAnsi="宋体" w:cs="宋体"/>
                <w:b/>
                <w:kern w:val="0"/>
                <w:szCs w:val="21"/>
              </w:rPr>
            </w:pPr>
            <w:r>
              <w:rPr>
                <w:rFonts w:hint="eastAsia" w:ascii="宋体" w:hAnsi="宋体" w:cs="宋体"/>
                <w:b/>
                <w:kern w:val="0"/>
                <w:szCs w:val="21"/>
              </w:rPr>
              <w:t xml:space="preserve">  医疗保障</w:t>
            </w:r>
          </w:p>
        </w:tc>
        <w:tc>
          <w:tcPr>
            <w:tcW w:w="1985" w:type="dxa"/>
            <w:tcBorders>
              <w:top w:val="single" w:color="000000" w:sz="4" w:space="0"/>
              <w:left w:val="nil"/>
              <w:bottom w:val="single" w:color="auto" w:sz="4" w:space="0"/>
              <w:right w:val="single" w:color="000000" w:sz="4" w:space="0"/>
            </w:tcBorders>
            <w:shd w:val="clear" w:color="auto" w:fill="auto"/>
            <w:vAlign w:val="center"/>
          </w:tcPr>
          <w:p>
            <w:pPr>
              <w:widowControl/>
              <w:jc w:val="right"/>
              <w:rPr>
                <w:rFonts w:ascii="宋体" w:hAnsi="宋体" w:cs="宋体"/>
                <w:b/>
                <w:kern w:val="0"/>
                <w:szCs w:val="21"/>
              </w:rPr>
            </w:pPr>
            <w:r>
              <w:rPr>
                <w:rFonts w:hint="eastAsia" w:ascii="宋体" w:hAnsi="宋体" w:cs="宋体"/>
                <w:b/>
                <w:kern w:val="0"/>
                <w:szCs w:val="21"/>
              </w:rPr>
              <w:t>9.45</w:t>
            </w:r>
          </w:p>
        </w:tc>
      </w:tr>
      <w:tr>
        <w:tblPrEx>
          <w:tblLayout w:type="fixed"/>
          <w:tblCellMar>
            <w:top w:w="0" w:type="dxa"/>
            <w:left w:w="108" w:type="dxa"/>
            <w:bottom w:w="0" w:type="dxa"/>
            <w:right w:w="108" w:type="dxa"/>
          </w:tblCellMar>
        </w:tblPrEx>
        <w:trPr>
          <w:trHeight w:val="315" w:hRule="atLeast"/>
        </w:trPr>
        <w:tc>
          <w:tcPr>
            <w:tcW w:w="29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方正书宋_GBK" w:hAnsi="方正书宋_GBK" w:cs="宋体"/>
                <w:kern w:val="0"/>
                <w:szCs w:val="21"/>
              </w:rPr>
            </w:pPr>
            <w:r>
              <w:rPr>
                <w:rFonts w:ascii="方正书宋_GBK" w:hAnsi="方正书宋_GBK" w:cs="宋体"/>
                <w:kern w:val="0"/>
                <w:szCs w:val="21"/>
              </w:rPr>
              <w:t>　</w:t>
            </w:r>
          </w:p>
        </w:tc>
        <w:tc>
          <w:tcPr>
            <w:tcW w:w="90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Cs w:val="21"/>
              </w:rPr>
            </w:pPr>
            <w:r>
              <w:rPr>
                <w:rFonts w:hint="eastAsia" w:ascii="宋体" w:hAnsi="宋体" w:cs="宋体"/>
                <w:kern w:val="0"/>
                <w:szCs w:val="21"/>
              </w:rPr>
              <w:t>　</w:t>
            </w:r>
          </w:p>
        </w:tc>
        <w:tc>
          <w:tcPr>
            <w:tcW w:w="3254"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 xml:space="preserve">    行政事业单位医疗</w:t>
            </w:r>
          </w:p>
        </w:tc>
        <w:tc>
          <w:tcPr>
            <w:tcW w:w="1985" w:type="dxa"/>
            <w:tcBorders>
              <w:top w:val="single" w:color="000000" w:sz="4" w:space="0"/>
              <w:left w:val="nil"/>
              <w:bottom w:val="single" w:color="auto" w:sz="4" w:space="0"/>
              <w:right w:val="single" w:color="000000" w:sz="4" w:space="0"/>
            </w:tcBorders>
            <w:shd w:val="clear" w:color="auto" w:fill="auto"/>
            <w:vAlign w:val="center"/>
          </w:tcPr>
          <w:p>
            <w:pPr>
              <w:widowControl/>
              <w:jc w:val="right"/>
              <w:rPr>
                <w:rFonts w:ascii="宋体" w:hAnsi="宋体" w:cs="宋体"/>
                <w:kern w:val="0"/>
                <w:szCs w:val="21"/>
              </w:rPr>
            </w:pPr>
            <w:r>
              <w:rPr>
                <w:rFonts w:hint="eastAsia" w:ascii="宋体" w:hAnsi="宋体" w:cs="宋体"/>
                <w:kern w:val="0"/>
                <w:szCs w:val="21"/>
              </w:rPr>
              <w:t>9.45　</w:t>
            </w:r>
          </w:p>
        </w:tc>
      </w:tr>
      <w:tr>
        <w:tblPrEx>
          <w:tblLayout w:type="fixed"/>
          <w:tblCellMar>
            <w:top w:w="0" w:type="dxa"/>
            <w:left w:w="108" w:type="dxa"/>
            <w:bottom w:w="0" w:type="dxa"/>
            <w:right w:w="108" w:type="dxa"/>
          </w:tblCellMar>
        </w:tblPrEx>
        <w:trPr>
          <w:trHeight w:val="315" w:hRule="atLeast"/>
        </w:trPr>
        <w:tc>
          <w:tcPr>
            <w:tcW w:w="29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方正书宋_GBK" w:hAnsi="方正书宋_GBK" w:cs="宋体"/>
                <w:kern w:val="0"/>
                <w:szCs w:val="21"/>
              </w:rPr>
            </w:pPr>
            <w:r>
              <w:rPr>
                <w:rFonts w:ascii="方正书宋_GBK" w:hAnsi="方正书宋_GBK" w:cs="宋体"/>
                <w:kern w:val="0"/>
                <w:szCs w:val="21"/>
              </w:rPr>
              <w:t>　</w:t>
            </w:r>
          </w:p>
        </w:tc>
        <w:tc>
          <w:tcPr>
            <w:tcW w:w="90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Cs w:val="21"/>
              </w:rPr>
            </w:pPr>
            <w:r>
              <w:rPr>
                <w:rFonts w:hint="eastAsia" w:ascii="宋体" w:hAnsi="宋体" w:cs="宋体"/>
                <w:kern w:val="0"/>
                <w:szCs w:val="21"/>
              </w:rPr>
              <w:t>　</w:t>
            </w:r>
          </w:p>
        </w:tc>
        <w:tc>
          <w:tcPr>
            <w:tcW w:w="3254"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left"/>
              <w:rPr>
                <w:rFonts w:ascii="宋体" w:hAnsi="宋体" w:cs="宋体"/>
                <w:b/>
                <w:kern w:val="0"/>
                <w:szCs w:val="21"/>
              </w:rPr>
            </w:pPr>
            <w:r>
              <w:rPr>
                <w:rFonts w:hint="eastAsia" w:ascii="宋体" w:hAnsi="宋体" w:cs="宋体"/>
                <w:b/>
                <w:kern w:val="0"/>
                <w:szCs w:val="21"/>
              </w:rPr>
              <w:t>住房保障支出</w:t>
            </w:r>
          </w:p>
        </w:tc>
        <w:tc>
          <w:tcPr>
            <w:tcW w:w="1985" w:type="dxa"/>
            <w:tcBorders>
              <w:top w:val="single" w:color="000000" w:sz="4" w:space="0"/>
              <w:left w:val="nil"/>
              <w:bottom w:val="single" w:color="auto" w:sz="4" w:space="0"/>
              <w:right w:val="single" w:color="000000" w:sz="4" w:space="0"/>
            </w:tcBorders>
            <w:shd w:val="clear" w:color="auto" w:fill="auto"/>
            <w:vAlign w:val="center"/>
          </w:tcPr>
          <w:p>
            <w:pPr>
              <w:widowControl/>
              <w:jc w:val="right"/>
              <w:rPr>
                <w:rFonts w:ascii="宋体" w:hAnsi="宋体" w:cs="宋体"/>
                <w:b/>
                <w:kern w:val="0"/>
                <w:szCs w:val="21"/>
              </w:rPr>
            </w:pPr>
            <w:r>
              <w:rPr>
                <w:rFonts w:hint="eastAsia" w:ascii="宋体" w:hAnsi="宋体" w:cs="宋体"/>
                <w:b/>
                <w:kern w:val="0"/>
                <w:szCs w:val="21"/>
              </w:rPr>
              <w:t>13.40　</w:t>
            </w:r>
          </w:p>
        </w:tc>
      </w:tr>
      <w:tr>
        <w:tblPrEx>
          <w:tblLayout w:type="fixed"/>
          <w:tblCellMar>
            <w:top w:w="0" w:type="dxa"/>
            <w:left w:w="108" w:type="dxa"/>
            <w:bottom w:w="0" w:type="dxa"/>
            <w:right w:w="108" w:type="dxa"/>
          </w:tblCellMar>
        </w:tblPrEx>
        <w:trPr>
          <w:trHeight w:val="315" w:hRule="atLeast"/>
        </w:trPr>
        <w:tc>
          <w:tcPr>
            <w:tcW w:w="29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方正书宋_GBK" w:hAnsi="方正书宋_GBK" w:cs="宋体"/>
                <w:kern w:val="0"/>
                <w:szCs w:val="21"/>
              </w:rPr>
            </w:pPr>
            <w:r>
              <w:rPr>
                <w:rFonts w:ascii="方正书宋_GBK" w:hAnsi="方正书宋_GBK" w:cs="宋体"/>
                <w:kern w:val="0"/>
                <w:szCs w:val="21"/>
              </w:rPr>
              <w:t>　</w:t>
            </w:r>
          </w:p>
        </w:tc>
        <w:tc>
          <w:tcPr>
            <w:tcW w:w="90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Cs w:val="21"/>
              </w:rPr>
            </w:pPr>
            <w:r>
              <w:rPr>
                <w:rFonts w:hint="eastAsia" w:ascii="宋体" w:hAnsi="宋体" w:cs="宋体"/>
                <w:kern w:val="0"/>
                <w:szCs w:val="21"/>
              </w:rPr>
              <w:t>　</w:t>
            </w:r>
          </w:p>
        </w:tc>
        <w:tc>
          <w:tcPr>
            <w:tcW w:w="3254"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left"/>
              <w:rPr>
                <w:rFonts w:ascii="宋体" w:hAnsi="宋体" w:cs="宋体"/>
                <w:b/>
                <w:kern w:val="0"/>
                <w:szCs w:val="21"/>
              </w:rPr>
            </w:pPr>
            <w:r>
              <w:rPr>
                <w:rFonts w:hint="eastAsia" w:ascii="宋体" w:hAnsi="宋体" w:cs="宋体"/>
                <w:b/>
                <w:kern w:val="0"/>
                <w:szCs w:val="21"/>
              </w:rPr>
              <w:t xml:space="preserve">  住房改革支出</w:t>
            </w:r>
          </w:p>
        </w:tc>
        <w:tc>
          <w:tcPr>
            <w:tcW w:w="1985" w:type="dxa"/>
            <w:tcBorders>
              <w:top w:val="single" w:color="000000" w:sz="4" w:space="0"/>
              <w:left w:val="nil"/>
              <w:bottom w:val="single" w:color="auto" w:sz="4" w:space="0"/>
              <w:right w:val="single" w:color="000000" w:sz="4" w:space="0"/>
            </w:tcBorders>
            <w:shd w:val="clear" w:color="auto" w:fill="auto"/>
            <w:vAlign w:val="center"/>
          </w:tcPr>
          <w:p>
            <w:pPr>
              <w:widowControl/>
              <w:jc w:val="right"/>
              <w:rPr>
                <w:rFonts w:ascii="宋体" w:hAnsi="宋体" w:cs="宋体"/>
                <w:b/>
                <w:kern w:val="0"/>
                <w:szCs w:val="21"/>
              </w:rPr>
            </w:pPr>
            <w:r>
              <w:rPr>
                <w:rFonts w:hint="eastAsia" w:ascii="宋体" w:hAnsi="宋体" w:cs="宋体"/>
                <w:b/>
                <w:kern w:val="0"/>
                <w:szCs w:val="21"/>
              </w:rPr>
              <w:t>13.40　</w:t>
            </w:r>
          </w:p>
        </w:tc>
      </w:tr>
      <w:tr>
        <w:tblPrEx>
          <w:tblLayout w:type="fixed"/>
          <w:tblCellMar>
            <w:top w:w="0" w:type="dxa"/>
            <w:left w:w="108" w:type="dxa"/>
            <w:bottom w:w="0" w:type="dxa"/>
            <w:right w:w="108" w:type="dxa"/>
          </w:tblCellMar>
        </w:tblPrEx>
        <w:trPr>
          <w:trHeight w:val="315" w:hRule="atLeast"/>
        </w:trPr>
        <w:tc>
          <w:tcPr>
            <w:tcW w:w="29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方正书宋_GBK" w:hAnsi="方正书宋_GBK" w:cs="宋体"/>
                <w:kern w:val="0"/>
                <w:szCs w:val="21"/>
              </w:rPr>
            </w:pPr>
            <w:r>
              <w:rPr>
                <w:rFonts w:ascii="方正书宋_GBK" w:hAnsi="方正书宋_GBK" w:cs="宋体"/>
                <w:kern w:val="0"/>
                <w:szCs w:val="21"/>
              </w:rPr>
              <w:t>　</w:t>
            </w:r>
          </w:p>
        </w:tc>
        <w:tc>
          <w:tcPr>
            <w:tcW w:w="90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Cs w:val="21"/>
              </w:rPr>
            </w:pPr>
            <w:r>
              <w:rPr>
                <w:rFonts w:hint="eastAsia" w:ascii="宋体" w:hAnsi="宋体" w:cs="宋体"/>
                <w:kern w:val="0"/>
                <w:szCs w:val="21"/>
              </w:rPr>
              <w:t>　</w:t>
            </w:r>
          </w:p>
        </w:tc>
        <w:tc>
          <w:tcPr>
            <w:tcW w:w="3254"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 xml:space="preserve">    住房公积金</w:t>
            </w:r>
          </w:p>
        </w:tc>
        <w:tc>
          <w:tcPr>
            <w:tcW w:w="1985" w:type="dxa"/>
            <w:tcBorders>
              <w:top w:val="single" w:color="000000" w:sz="4" w:space="0"/>
              <w:left w:val="nil"/>
              <w:bottom w:val="single" w:color="auto" w:sz="4" w:space="0"/>
              <w:right w:val="single" w:color="000000" w:sz="4" w:space="0"/>
            </w:tcBorders>
            <w:shd w:val="clear" w:color="auto" w:fill="auto"/>
            <w:vAlign w:val="center"/>
          </w:tcPr>
          <w:p>
            <w:pPr>
              <w:widowControl/>
              <w:jc w:val="right"/>
              <w:rPr>
                <w:rFonts w:ascii="宋体" w:hAnsi="宋体" w:cs="宋体"/>
                <w:kern w:val="0"/>
                <w:szCs w:val="21"/>
              </w:rPr>
            </w:pPr>
            <w:r>
              <w:rPr>
                <w:rFonts w:hint="eastAsia" w:ascii="宋体" w:hAnsi="宋体" w:cs="宋体"/>
                <w:kern w:val="0"/>
                <w:szCs w:val="21"/>
              </w:rPr>
              <w:t>12.70　</w:t>
            </w:r>
          </w:p>
        </w:tc>
      </w:tr>
      <w:tr>
        <w:tblPrEx>
          <w:tblLayout w:type="fixed"/>
          <w:tblCellMar>
            <w:top w:w="0" w:type="dxa"/>
            <w:left w:w="108" w:type="dxa"/>
            <w:bottom w:w="0" w:type="dxa"/>
            <w:right w:w="108" w:type="dxa"/>
          </w:tblCellMar>
        </w:tblPrEx>
        <w:trPr>
          <w:trHeight w:val="315" w:hRule="atLeast"/>
        </w:trPr>
        <w:tc>
          <w:tcPr>
            <w:tcW w:w="29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方正书宋_GBK" w:hAnsi="方正书宋_GBK" w:cs="宋体"/>
                <w:kern w:val="0"/>
                <w:szCs w:val="21"/>
              </w:rPr>
            </w:pPr>
            <w:r>
              <w:rPr>
                <w:rFonts w:ascii="方正书宋_GBK" w:hAnsi="方正书宋_GBK" w:cs="宋体"/>
                <w:kern w:val="0"/>
                <w:szCs w:val="21"/>
              </w:rPr>
              <w:t>　</w:t>
            </w:r>
          </w:p>
        </w:tc>
        <w:tc>
          <w:tcPr>
            <w:tcW w:w="90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Cs w:val="21"/>
              </w:rPr>
            </w:pPr>
            <w:r>
              <w:rPr>
                <w:rFonts w:hint="eastAsia" w:ascii="宋体" w:hAnsi="宋体" w:cs="宋体"/>
                <w:kern w:val="0"/>
                <w:szCs w:val="21"/>
              </w:rPr>
              <w:t>　</w:t>
            </w:r>
          </w:p>
        </w:tc>
        <w:tc>
          <w:tcPr>
            <w:tcW w:w="3254"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 xml:space="preserve">    购房补贴</w:t>
            </w:r>
          </w:p>
        </w:tc>
        <w:tc>
          <w:tcPr>
            <w:tcW w:w="1985" w:type="dxa"/>
            <w:tcBorders>
              <w:top w:val="single" w:color="000000" w:sz="4" w:space="0"/>
              <w:left w:val="nil"/>
              <w:bottom w:val="single" w:color="auto" w:sz="4" w:space="0"/>
              <w:right w:val="single" w:color="000000" w:sz="4" w:space="0"/>
            </w:tcBorders>
            <w:shd w:val="clear" w:color="auto" w:fill="auto"/>
            <w:vAlign w:val="center"/>
          </w:tcPr>
          <w:p>
            <w:pPr>
              <w:widowControl/>
              <w:jc w:val="right"/>
              <w:rPr>
                <w:rFonts w:ascii="宋体" w:hAnsi="宋体" w:cs="宋体"/>
                <w:kern w:val="0"/>
                <w:szCs w:val="21"/>
              </w:rPr>
            </w:pPr>
            <w:r>
              <w:rPr>
                <w:rFonts w:hint="eastAsia" w:ascii="宋体" w:hAnsi="宋体" w:cs="宋体"/>
                <w:kern w:val="0"/>
                <w:szCs w:val="21"/>
              </w:rPr>
              <w:t>0.70　</w:t>
            </w:r>
          </w:p>
        </w:tc>
      </w:tr>
      <w:tr>
        <w:tblPrEx>
          <w:tblLayout w:type="fixed"/>
          <w:tblCellMar>
            <w:top w:w="0" w:type="dxa"/>
            <w:left w:w="108" w:type="dxa"/>
            <w:bottom w:w="0" w:type="dxa"/>
            <w:right w:w="108" w:type="dxa"/>
          </w:tblCellMar>
        </w:tblPrEx>
        <w:trPr>
          <w:trHeight w:val="345" w:hRule="atLeast"/>
        </w:trPr>
        <w:tc>
          <w:tcPr>
            <w:tcW w:w="29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书宋_GBK" w:hAnsi="方正书宋_GBK" w:cs="宋体"/>
                <w:kern w:val="0"/>
                <w:szCs w:val="21"/>
              </w:rPr>
            </w:pPr>
            <w:r>
              <w:rPr>
                <w:rFonts w:ascii="方正书宋_GBK" w:hAnsi="方正书宋_GBK" w:cs="宋体"/>
                <w:kern w:val="0"/>
                <w:szCs w:val="21"/>
              </w:rPr>
              <w:t>本年收入合计</w:t>
            </w:r>
          </w:p>
        </w:tc>
        <w:tc>
          <w:tcPr>
            <w:tcW w:w="90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Cs w:val="21"/>
              </w:rPr>
            </w:pPr>
            <w:r>
              <w:rPr>
                <w:rFonts w:hint="eastAsia" w:ascii="宋体" w:hAnsi="宋体" w:cs="宋体"/>
                <w:kern w:val="0"/>
                <w:szCs w:val="21"/>
              </w:rPr>
              <w:t>401.59　</w:t>
            </w:r>
          </w:p>
        </w:tc>
        <w:tc>
          <w:tcPr>
            <w:tcW w:w="3254"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　</w:t>
            </w:r>
          </w:p>
        </w:tc>
        <w:tc>
          <w:tcPr>
            <w:tcW w:w="1985" w:type="dxa"/>
            <w:tcBorders>
              <w:top w:val="single" w:color="000000" w:sz="4" w:space="0"/>
              <w:left w:val="nil"/>
              <w:bottom w:val="single" w:color="auto" w:sz="4" w:space="0"/>
              <w:right w:val="single" w:color="000000" w:sz="4" w:space="0"/>
            </w:tcBorders>
            <w:shd w:val="clear" w:color="auto" w:fill="auto"/>
            <w:vAlign w:val="center"/>
          </w:tcPr>
          <w:p>
            <w:pPr>
              <w:widowControl/>
              <w:jc w:val="right"/>
              <w:rPr>
                <w:rFonts w:ascii="宋体" w:hAnsi="宋体" w:cs="宋体"/>
                <w:kern w:val="0"/>
                <w:szCs w:val="21"/>
              </w:rPr>
            </w:pPr>
            <w:r>
              <w:rPr>
                <w:rFonts w:hint="eastAsia" w:ascii="宋体" w:hAnsi="宋体" w:cs="宋体"/>
                <w:kern w:val="0"/>
                <w:szCs w:val="21"/>
              </w:rPr>
              <w:t>　</w:t>
            </w:r>
          </w:p>
        </w:tc>
      </w:tr>
      <w:tr>
        <w:tblPrEx>
          <w:tblLayout w:type="fixed"/>
          <w:tblCellMar>
            <w:top w:w="0" w:type="dxa"/>
            <w:left w:w="108" w:type="dxa"/>
            <w:bottom w:w="0" w:type="dxa"/>
            <w:right w:w="108" w:type="dxa"/>
          </w:tblCellMar>
        </w:tblPrEx>
        <w:trPr>
          <w:trHeight w:val="315" w:hRule="atLeast"/>
        </w:trPr>
        <w:tc>
          <w:tcPr>
            <w:tcW w:w="29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方正书宋_GBK" w:hAnsi="方正书宋_GBK" w:cs="宋体"/>
                <w:kern w:val="0"/>
                <w:szCs w:val="21"/>
              </w:rPr>
            </w:pPr>
            <w:r>
              <w:rPr>
                <w:rFonts w:ascii="方正书宋_GBK" w:hAnsi="方正书宋_GBK" w:cs="宋体"/>
                <w:kern w:val="0"/>
                <w:szCs w:val="21"/>
              </w:rPr>
              <w:t>七、上级补助收入</w:t>
            </w:r>
          </w:p>
        </w:tc>
        <w:tc>
          <w:tcPr>
            <w:tcW w:w="90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Cs w:val="21"/>
              </w:rPr>
            </w:pPr>
            <w:r>
              <w:rPr>
                <w:rFonts w:hint="eastAsia" w:ascii="宋体" w:hAnsi="宋体" w:cs="宋体"/>
                <w:kern w:val="0"/>
                <w:szCs w:val="21"/>
              </w:rPr>
              <w:t>　</w:t>
            </w:r>
          </w:p>
        </w:tc>
        <w:tc>
          <w:tcPr>
            <w:tcW w:w="3254"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　</w:t>
            </w:r>
          </w:p>
        </w:tc>
        <w:tc>
          <w:tcPr>
            <w:tcW w:w="1985" w:type="dxa"/>
            <w:tcBorders>
              <w:top w:val="single" w:color="000000" w:sz="4" w:space="0"/>
              <w:left w:val="nil"/>
              <w:bottom w:val="single" w:color="auto" w:sz="4" w:space="0"/>
              <w:right w:val="single" w:color="000000" w:sz="4" w:space="0"/>
            </w:tcBorders>
            <w:shd w:val="clear" w:color="auto" w:fill="auto"/>
            <w:vAlign w:val="center"/>
          </w:tcPr>
          <w:p>
            <w:pPr>
              <w:widowControl/>
              <w:jc w:val="right"/>
              <w:rPr>
                <w:rFonts w:ascii="宋体" w:hAnsi="宋体" w:cs="宋体"/>
                <w:kern w:val="0"/>
                <w:szCs w:val="21"/>
              </w:rPr>
            </w:pPr>
            <w:r>
              <w:rPr>
                <w:rFonts w:hint="eastAsia" w:ascii="宋体" w:hAnsi="宋体" w:cs="宋体"/>
                <w:kern w:val="0"/>
                <w:szCs w:val="21"/>
              </w:rPr>
              <w:t>　</w:t>
            </w:r>
          </w:p>
        </w:tc>
      </w:tr>
      <w:tr>
        <w:tblPrEx>
          <w:tblLayout w:type="fixed"/>
          <w:tblCellMar>
            <w:top w:w="0" w:type="dxa"/>
            <w:left w:w="108" w:type="dxa"/>
            <w:bottom w:w="0" w:type="dxa"/>
            <w:right w:w="108" w:type="dxa"/>
          </w:tblCellMar>
        </w:tblPrEx>
        <w:trPr>
          <w:trHeight w:val="315" w:hRule="atLeast"/>
        </w:trPr>
        <w:tc>
          <w:tcPr>
            <w:tcW w:w="29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方正书宋_GBK" w:hAnsi="方正书宋_GBK" w:cs="宋体"/>
                <w:kern w:val="0"/>
                <w:szCs w:val="21"/>
              </w:rPr>
            </w:pPr>
            <w:r>
              <w:rPr>
                <w:rFonts w:ascii="方正书宋_GBK" w:hAnsi="方正书宋_GBK" w:cs="宋体"/>
                <w:kern w:val="0"/>
                <w:szCs w:val="21"/>
              </w:rPr>
              <w:t>八、附属单位上缴收入</w:t>
            </w:r>
          </w:p>
        </w:tc>
        <w:tc>
          <w:tcPr>
            <w:tcW w:w="90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Cs w:val="21"/>
              </w:rPr>
            </w:pPr>
            <w:r>
              <w:rPr>
                <w:rFonts w:hint="eastAsia" w:ascii="宋体" w:hAnsi="宋体" w:cs="宋体"/>
                <w:kern w:val="0"/>
                <w:szCs w:val="21"/>
              </w:rPr>
              <w:t>　</w:t>
            </w:r>
          </w:p>
        </w:tc>
        <w:tc>
          <w:tcPr>
            <w:tcW w:w="3254"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　</w:t>
            </w:r>
          </w:p>
        </w:tc>
        <w:tc>
          <w:tcPr>
            <w:tcW w:w="1985" w:type="dxa"/>
            <w:tcBorders>
              <w:top w:val="single" w:color="000000" w:sz="4" w:space="0"/>
              <w:left w:val="nil"/>
              <w:bottom w:val="single" w:color="auto" w:sz="4" w:space="0"/>
              <w:right w:val="single" w:color="000000" w:sz="4" w:space="0"/>
            </w:tcBorders>
            <w:shd w:val="clear" w:color="auto" w:fill="auto"/>
            <w:vAlign w:val="center"/>
          </w:tcPr>
          <w:p>
            <w:pPr>
              <w:widowControl/>
              <w:jc w:val="right"/>
              <w:rPr>
                <w:rFonts w:ascii="宋体" w:hAnsi="宋体" w:cs="宋体"/>
                <w:kern w:val="0"/>
                <w:szCs w:val="21"/>
              </w:rPr>
            </w:pPr>
            <w:r>
              <w:rPr>
                <w:rFonts w:hint="eastAsia" w:ascii="宋体" w:hAnsi="宋体" w:cs="宋体"/>
                <w:kern w:val="0"/>
                <w:szCs w:val="21"/>
              </w:rPr>
              <w:t>　</w:t>
            </w:r>
          </w:p>
        </w:tc>
      </w:tr>
      <w:tr>
        <w:tblPrEx>
          <w:tblLayout w:type="fixed"/>
          <w:tblCellMar>
            <w:top w:w="0" w:type="dxa"/>
            <w:left w:w="108" w:type="dxa"/>
            <w:bottom w:w="0" w:type="dxa"/>
            <w:right w:w="108" w:type="dxa"/>
          </w:tblCellMar>
        </w:tblPrEx>
        <w:trPr>
          <w:trHeight w:val="315" w:hRule="atLeast"/>
        </w:trPr>
        <w:tc>
          <w:tcPr>
            <w:tcW w:w="29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方正书宋_GBK" w:hAnsi="方正书宋_GBK" w:cs="宋体"/>
                <w:kern w:val="0"/>
                <w:szCs w:val="21"/>
              </w:rPr>
            </w:pPr>
            <w:r>
              <w:rPr>
                <w:rFonts w:ascii="方正书宋_GBK" w:hAnsi="方正书宋_GBK" w:cs="宋体"/>
                <w:kern w:val="0"/>
                <w:szCs w:val="21"/>
              </w:rPr>
              <w:t>九、用事业基金弥补收支差额</w:t>
            </w:r>
          </w:p>
        </w:tc>
        <w:tc>
          <w:tcPr>
            <w:tcW w:w="90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Cs w:val="21"/>
              </w:rPr>
            </w:pPr>
            <w:r>
              <w:rPr>
                <w:rFonts w:hint="eastAsia" w:ascii="宋体" w:hAnsi="宋体" w:cs="宋体"/>
                <w:kern w:val="0"/>
                <w:szCs w:val="21"/>
              </w:rPr>
              <w:t>　</w:t>
            </w:r>
          </w:p>
        </w:tc>
        <w:tc>
          <w:tcPr>
            <w:tcW w:w="3254"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　</w:t>
            </w:r>
          </w:p>
        </w:tc>
        <w:tc>
          <w:tcPr>
            <w:tcW w:w="1985" w:type="dxa"/>
            <w:tcBorders>
              <w:top w:val="single" w:color="000000" w:sz="4" w:space="0"/>
              <w:left w:val="nil"/>
              <w:bottom w:val="single" w:color="auto" w:sz="4" w:space="0"/>
              <w:right w:val="single" w:color="000000" w:sz="4" w:space="0"/>
            </w:tcBorders>
            <w:shd w:val="clear" w:color="auto" w:fill="auto"/>
            <w:vAlign w:val="center"/>
          </w:tcPr>
          <w:p>
            <w:pPr>
              <w:widowControl/>
              <w:jc w:val="right"/>
              <w:rPr>
                <w:rFonts w:ascii="宋体" w:hAnsi="宋体" w:cs="宋体"/>
                <w:kern w:val="0"/>
                <w:szCs w:val="21"/>
              </w:rPr>
            </w:pPr>
            <w:r>
              <w:rPr>
                <w:rFonts w:hint="eastAsia" w:ascii="宋体" w:hAnsi="宋体" w:cs="宋体"/>
                <w:kern w:val="0"/>
                <w:szCs w:val="21"/>
              </w:rPr>
              <w:t>　</w:t>
            </w:r>
          </w:p>
        </w:tc>
      </w:tr>
      <w:tr>
        <w:tblPrEx>
          <w:tblLayout w:type="fixed"/>
          <w:tblCellMar>
            <w:top w:w="0" w:type="dxa"/>
            <w:left w:w="108" w:type="dxa"/>
            <w:bottom w:w="0" w:type="dxa"/>
            <w:right w:w="108" w:type="dxa"/>
          </w:tblCellMar>
        </w:tblPrEx>
        <w:trPr>
          <w:trHeight w:val="315" w:hRule="atLeast"/>
        </w:trPr>
        <w:tc>
          <w:tcPr>
            <w:tcW w:w="29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方正书宋_GBK" w:hAnsi="方正书宋_GBK" w:cs="宋体"/>
                <w:kern w:val="0"/>
                <w:szCs w:val="21"/>
              </w:rPr>
            </w:pPr>
            <w:r>
              <w:rPr>
                <w:rFonts w:ascii="方正书宋_GBK" w:hAnsi="方正书宋_GBK" w:cs="宋体"/>
                <w:kern w:val="0"/>
                <w:szCs w:val="21"/>
              </w:rPr>
              <w:t>十、上年结转</w:t>
            </w:r>
          </w:p>
        </w:tc>
        <w:tc>
          <w:tcPr>
            <w:tcW w:w="90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Cs w:val="21"/>
              </w:rPr>
            </w:pPr>
            <w:r>
              <w:rPr>
                <w:rFonts w:hint="eastAsia" w:ascii="宋体" w:hAnsi="宋体" w:cs="宋体"/>
                <w:kern w:val="0"/>
                <w:szCs w:val="21"/>
              </w:rPr>
              <w:t>　</w:t>
            </w:r>
          </w:p>
        </w:tc>
        <w:tc>
          <w:tcPr>
            <w:tcW w:w="3254"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　</w:t>
            </w:r>
          </w:p>
        </w:tc>
        <w:tc>
          <w:tcPr>
            <w:tcW w:w="1985" w:type="dxa"/>
            <w:tcBorders>
              <w:top w:val="single" w:color="000000" w:sz="4" w:space="0"/>
              <w:left w:val="nil"/>
              <w:bottom w:val="single" w:color="auto" w:sz="4" w:space="0"/>
              <w:right w:val="single" w:color="000000" w:sz="4" w:space="0"/>
            </w:tcBorders>
            <w:shd w:val="clear" w:color="auto" w:fill="auto"/>
            <w:vAlign w:val="center"/>
          </w:tcPr>
          <w:p>
            <w:pPr>
              <w:widowControl/>
              <w:jc w:val="right"/>
              <w:rPr>
                <w:rFonts w:ascii="宋体" w:hAnsi="宋体" w:cs="宋体"/>
                <w:kern w:val="0"/>
                <w:szCs w:val="21"/>
              </w:rPr>
            </w:pPr>
            <w:r>
              <w:rPr>
                <w:rFonts w:hint="eastAsia" w:ascii="宋体" w:hAnsi="宋体" w:cs="宋体"/>
                <w:kern w:val="0"/>
                <w:szCs w:val="21"/>
              </w:rPr>
              <w:t>　</w:t>
            </w:r>
          </w:p>
        </w:tc>
      </w:tr>
      <w:tr>
        <w:tblPrEx>
          <w:tblLayout w:type="fixed"/>
          <w:tblCellMar>
            <w:top w:w="0" w:type="dxa"/>
            <w:left w:w="108" w:type="dxa"/>
            <w:bottom w:w="0" w:type="dxa"/>
            <w:right w:w="108" w:type="dxa"/>
          </w:tblCellMar>
        </w:tblPrEx>
        <w:trPr>
          <w:trHeight w:val="315" w:hRule="atLeast"/>
        </w:trPr>
        <w:tc>
          <w:tcPr>
            <w:tcW w:w="2900" w:type="dxa"/>
            <w:tcBorders>
              <w:top w:val="nil"/>
              <w:left w:val="single" w:color="auto" w:sz="4" w:space="0"/>
              <w:bottom w:val="single" w:color="auto" w:sz="4" w:space="0"/>
              <w:right w:val="nil"/>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其中：专项结转</w:t>
            </w:r>
          </w:p>
        </w:tc>
        <w:tc>
          <w:tcPr>
            <w:tcW w:w="90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kern w:val="0"/>
                <w:szCs w:val="21"/>
              </w:rPr>
            </w:pPr>
            <w:r>
              <w:rPr>
                <w:rFonts w:hint="eastAsia" w:ascii="宋体" w:hAnsi="宋体" w:cs="宋体"/>
                <w:kern w:val="0"/>
                <w:szCs w:val="21"/>
              </w:rPr>
              <w:t>　</w:t>
            </w:r>
          </w:p>
        </w:tc>
        <w:tc>
          <w:tcPr>
            <w:tcW w:w="3254"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　</w:t>
            </w:r>
          </w:p>
        </w:tc>
        <w:tc>
          <w:tcPr>
            <w:tcW w:w="1985" w:type="dxa"/>
            <w:tcBorders>
              <w:top w:val="single" w:color="000000" w:sz="4" w:space="0"/>
              <w:left w:val="nil"/>
              <w:bottom w:val="single" w:color="auto" w:sz="4" w:space="0"/>
              <w:right w:val="single" w:color="000000" w:sz="4" w:space="0"/>
            </w:tcBorders>
            <w:shd w:val="clear" w:color="auto" w:fill="auto"/>
            <w:vAlign w:val="center"/>
          </w:tcPr>
          <w:p>
            <w:pPr>
              <w:widowControl/>
              <w:jc w:val="right"/>
              <w:rPr>
                <w:rFonts w:ascii="宋体" w:hAnsi="宋体" w:cs="宋体"/>
                <w:kern w:val="0"/>
                <w:szCs w:val="21"/>
              </w:rPr>
            </w:pPr>
            <w:r>
              <w:rPr>
                <w:rFonts w:hint="eastAsia" w:ascii="宋体" w:hAnsi="宋体" w:cs="宋体"/>
                <w:kern w:val="0"/>
                <w:szCs w:val="21"/>
              </w:rPr>
              <w:t>　</w:t>
            </w:r>
          </w:p>
        </w:tc>
      </w:tr>
      <w:tr>
        <w:tblPrEx>
          <w:tblLayout w:type="fixed"/>
          <w:tblCellMar>
            <w:top w:w="0" w:type="dxa"/>
            <w:left w:w="108" w:type="dxa"/>
            <w:bottom w:w="0" w:type="dxa"/>
            <w:right w:w="108" w:type="dxa"/>
          </w:tblCellMar>
        </w:tblPrEx>
        <w:trPr>
          <w:trHeight w:val="315" w:hRule="atLeast"/>
        </w:trPr>
        <w:tc>
          <w:tcPr>
            <w:tcW w:w="2900" w:type="dxa"/>
            <w:tcBorders>
              <w:top w:val="nil"/>
              <w:left w:val="single" w:color="auto" w:sz="4" w:space="0"/>
              <w:bottom w:val="single" w:color="auto" w:sz="4" w:space="0"/>
              <w:right w:val="nil"/>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 xml:space="preserve">     政府性基金结转</w:t>
            </w:r>
          </w:p>
        </w:tc>
        <w:tc>
          <w:tcPr>
            <w:tcW w:w="90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kern w:val="0"/>
                <w:szCs w:val="21"/>
              </w:rPr>
            </w:pPr>
            <w:r>
              <w:rPr>
                <w:rFonts w:hint="eastAsia" w:ascii="宋体" w:hAnsi="宋体" w:cs="宋体"/>
                <w:kern w:val="0"/>
                <w:szCs w:val="21"/>
              </w:rPr>
              <w:t>　</w:t>
            </w:r>
          </w:p>
        </w:tc>
        <w:tc>
          <w:tcPr>
            <w:tcW w:w="3254"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　</w:t>
            </w:r>
          </w:p>
        </w:tc>
        <w:tc>
          <w:tcPr>
            <w:tcW w:w="1985" w:type="dxa"/>
            <w:tcBorders>
              <w:top w:val="single" w:color="000000" w:sz="4" w:space="0"/>
              <w:left w:val="nil"/>
              <w:bottom w:val="single" w:color="auto" w:sz="4" w:space="0"/>
              <w:right w:val="single" w:color="000000" w:sz="4" w:space="0"/>
            </w:tcBorders>
            <w:shd w:val="clear" w:color="auto" w:fill="auto"/>
            <w:vAlign w:val="center"/>
          </w:tcPr>
          <w:p>
            <w:pPr>
              <w:widowControl/>
              <w:jc w:val="right"/>
              <w:rPr>
                <w:rFonts w:ascii="宋体" w:hAnsi="宋体" w:cs="宋体"/>
                <w:kern w:val="0"/>
                <w:szCs w:val="21"/>
              </w:rPr>
            </w:pPr>
            <w:r>
              <w:rPr>
                <w:rFonts w:hint="eastAsia" w:ascii="宋体" w:hAnsi="宋体" w:cs="宋体"/>
                <w:kern w:val="0"/>
                <w:szCs w:val="21"/>
              </w:rPr>
              <w:t>　</w:t>
            </w:r>
          </w:p>
        </w:tc>
      </w:tr>
      <w:tr>
        <w:tblPrEx>
          <w:tblLayout w:type="fixed"/>
          <w:tblCellMar>
            <w:top w:w="0" w:type="dxa"/>
            <w:left w:w="108" w:type="dxa"/>
            <w:bottom w:w="0" w:type="dxa"/>
            <w:right w:w="108" w:type="dxa"/>
          </w:tblCellMar>
        </w:tblPrEx>
        <w:trPr>
          <w:trHeight w:val="315" w:hRule="atLeast"/>
        </w:trPr>
        <w:tc>
          <w:tcPr>
            <w:tcW w:w="2900" w:type="dxa"/>
            <w:tcBorders>
              <w:top w:val="nil"/>
              <w:left w:val="single" w:color="auto" w:sz="4" w:space="0"/>
              <w:bottom w:val="single" w:color="auto" w:sz="4" w:space="0"/>
              <w:right w:val="nil"/>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 xml:space="preserve">     其他结转</w:t>
            </w:r>
          </w:p>
        </w:tc>
        <w:tc>
          <w:tcPr>
            <w:tcW w:w="90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kern w:val="0"/>
                <w:szCs w:val="21"/>
              </w:rPr>
            </w:pPr>
            <w:r>
              <w:rPr>
                <w:rFonts w:hint="eastAsia" w:ascii="宋体" w:hAnsi="宋体" w:cs="宋体"/>
                <w:kern w:val="0"/>
                <w:szCs w:val="21"/>
              </w:rPr>
              <w:t>　</w:t>
            </w:r>
          </w:p>
        </w:tc>
        <w:tc>
          <w:tcPr>
            <w:tcW w:w="3254"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　</w:t>
            </w:r>
          </w:p>
        </w:tc>
        <w:tc>
          <w:tcPr>
            <w:tcW w:w="1985" w:type="dxa"/>
            <w:tcBorders>
              <w:top w:val="single" w:color="000000" w:sz="4" w:space="0"/>
              <w:left w:val="nil"/>
              <w:bottom w:val="single" w:color="auto" w:sz="4" w:space="0"/>
              <w:right w:val="single" w:color="000000" w:sz="4" w:space="0"/>
            </w:tcBorders>
            <w:shd w:val="clear" w:color="auto" w:fill="auto"/>
            <w:vAlign w:val="center"/>
          </w:tcPr>
          <w:p>
            <w:pPr>
              <w:widowControl/>
              <w:jc w:val="right"/>
              <w:rPr>
                <w:rFonts w:ascii="宋体" w:hAnsi="宋体" w:cs="宋体"/>
                <w:kern w:val="0"/>
                <w:szCs w:val="21"/>
              </w:rPr>
            </w:pPr>
            <w:r>
              <w:rPr>
                <w:rFonts w:hint="eastAsia" w:ascii="宋体" w:hAnsi="宋体" w:cs="宋体"/>
                <w:kern w:val="0"/>
                <w:szCs w:val="21"/>
              </w:rPr>
              <w:t>　</w:t>
            </w:r>
          </w:p>
        </w:tc>
      </w:tr>
      <w:tr>
        <w:tblPrEx>
          <w:tblLayout w:type="fixed"/>
          <w:tblCellMar>
            <w:top w:w="0" w:type="dxa"/>
            <w:left w:w="108" w:type="dxa"/>
            <w:bottom w:w="0" w:type="dxa"/>
            <w:right w:w="108" w:type="dxa"/>
          </w:tblCellMar>
        </w:tblPrEx>
        <w:trPr>
          <w:trHeight w:val="315" w:hRule="atLeast"/>
        </w:trPr>
        <w:tc>
          <w:tcPr>
            <w:tcW w:w="29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书宋_GBK" w:hAnsi="方正书宋_GBK" w:cs="宋体"/>
                <w:kern w:val="0"/>
                <w:szCs w:val="21"/>
              </w:rPr>
            </w:pPr>
            <w:r>
              <w:rPr>
                <w:rFonts w:ascii="方正书宋_GBK" w:hAnsi="方正书宋_GBK" w:cs="宋体"/>
                <w:kern w:val="0"/>
                <w:szCs w:val="21"/>
              </w:rPr>
              <w:t>收  入  总  计</w:t>
            </w:r>
          </w:p>
        </w:tc>
        <w:tc>
          <w:tcPr>
            <w:tcW w:w="90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Cs w:val="21"/>
              </w:rPr>
            </w:pPr>
            <w:r>
              <w:rPr>
                <w:rFonts w:hint="eastAsia" w:ascii="宋体" w:hAnsi="宋体" w:cs="宋体"/>
                <w:kern w:val="0"/>
                <w:szCs w:val="21"/>
              </w:rPr>
              <w:t>401.59　</w:t>
            </w:r>
          </w:p>
        </w:tc>
        <w:tc>
          <w:tcPr>
            <w:tcW w:w="3254"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支  出  总  计</w:t>
            </w:r>
          </w:p>
        </w:tc>
        <w:tc>
          <w:tcPr>
            <w:tcW w:w="1985" w:type="dxa"/>
            <w:tcBorders>
              <w:top w:val="single" w:color="000000" w:sz="4" w:space="0"/>
              <w:left w:val="nil"/>
              <w:bottom w:val="single" w:color="auto" w:sz="4" w:space="0"/>
              <w:right w:val="single" w:color="000000" w:sz="4" w:space="0"/>
            </w:tcBorders>
            <w:shd w:val="clear" w:color="auto" w:fill="auto"/>
            <w:vAlign w:val="center"/>
          </w:tcPr>
          <w:p>
            <w:pPr>
              <w:widowControl/>
              <w:jc w:val="right"/>
              <w:rPr>
                <w:rFonts w:ascii="宋体" w:hAnsi="宋体" w:cs="宋体"/>
                <w:kern w:val="0"/>
                <w:szCs w:val="21"/>
              </w:rPr>
            </w:pPr>
            <w:r>
              <w:rPr>
                <w:rFonts w:hint="eastAsia" w:ascii="宋体" w:hAnsi="宋体" w:cs="宋体"/>
                <w:kern w:val="0"/>
                <w:szCs w:val="21"/>
              </w:rPr>
              <w:t>401.59　</w:t>
            </w:r>
          </w:p>
        </w:tc>
      </w:tr>
    </w:tbl>
    <w:p>
      <w:pPr>
        <w:widowControl/>
        <w:spacing w:line="540" w:lineRule="exact"/>
        <w:ind w:right="632"/>
        <w:jc w:val="left"/>
        <w:rPr>
          <w:rFonts w:ascii="黑体" w:hAnsi="黑体" w:eastAsia="黑体" w:cs="黑体"/>
          <w:bCs/>
          <w:spacing w:val="-2"/>
          <w:sz w:val="32"/>
          <w:szCs w:val="32"/>
        </w:rPr>
      </w:pPr>
    </w:p>
    <w:p>
      <w:pPr>
        <w:widowControl/>
        <w:spacing w:line="540" w:lineRule="exact"/>
        <w:ind w:right="632"/>
        <w:jc w:val="left"/>
        <w:rPr>
          <w:rFonts w:ascii="黑体" w:hAnsi="黑体" w:eastAsia="黑体" w:cs="黑体"/>
          <w:bCs/>
          <w:spacing w:val="-2"/>
          <w:sz w:val="32"/>
          <w:szCs w:val="32"/>
        </w:rPr>
      </w:pPr>
    </w:p>
    <w:p>
      <w:pPr>
        <w:widowControl/>
        <w:spacing w:line="540" w:lineRule="exact"/>
        <w:ind w:right="632"/>
        <w:jc w:val="left"/>
        <w:rPr>
          <w:rFonts w:ascii="黑体" w:hAnsi="黑体" w:eastAsia="黑体" w:cs="黑体"/>
          <w:bCs/>
          <w:spacing w:val="-2"/>
          <w:sz w:val="32"/>
          <w:szCs w:val="32"/>
        </w:rPr>
      </w:pPr>
    </w:p>
    <w:p>
      <w:pPr>
        <w:widowControl/>
        <w:spacing w:line="540" w:lineRule="exact"/>
        <w:ind w:right="632"/>
        <w:jc w:val="left"/>
        <w:rPr>
          <w:rFonts w:ascii="黑体" w:hAnsi="黑体" w:eastAsia="黑体" w:cs="黑体"/>
          <w:bCs/>
          <w:spacing w:val="-2"/>
          <w:sz w:val="32"/>
          <w:szCs w:val="32"/>
        </w:rPr>
      </w:pPr>
    </w:p>
    <w:p>
      <w:pPr>
        <w:widowControl/>
        <w:spacing w:line="540" w:lineRule="exact"/>
        <w:ind w:right="632"/>
        <w:jc w:val="left"/>
        <w:rPr>
          <w:rFonts w:ascii="黑体" w:hAnsi="黑体" w:eastAsia="黑体" w:cs="黑体"/>
          <w:bCs/>
          <w:spacing w:val="-2"/>
          <w:sz w:val="32"/>
          <w:szCs w:val="32"/>
        </w:rPr>
      </w:pPr>
    </w:p>
    <w:p>
      <w:pPr>
        <w:widowControl/>
        <w:spacing w:line="540" w:lineRule="exact"/>
        <w:ind w:right="632"/>
        <w:jc w:val="left"/>
        <w:rPr>
          <w:rFonts w:ascii="黑体" w:hAnsi="黑体" w:eastAsia="黑体" w:cs="黑体"/>
          <w:bCs/>
          <w:spacing w:val="-2"/>
          <w:sz w:val="32"/>
          <w:szCs w:val="32"/>
        </w:rPr>
      </w:pPr>
    </w:p>
    <w:p>
      <w:pPr>
        <w:widowControl/>
        <w:spacing w:line="540" w:lineRule="exact"/>
        <w:ind w:right="632"/>
        <w:jc w:val="left"/>
        <w:rPr>
          <w:rFonts w:ascii="黑体" w:hAnsi="黑体" w:eastAsia="黑体" w:cs="黑体"/>
          <w:bCs/>
          <w:spacing w:val="-2"/>
          <w:sz w:val="32"/>
          <w:szCs w:val="32"/>
        </w:rPr>
      </w:pPr>
    </w:p>
    <w:p>
      <w:pPr>
        <w:widowControl/>
        <w:jc w:val="left"/>
        <w:rPr>
          <w:rFonts w:cs="宋体" w:asciiTheme="minorEastAsia" w:hAnsiTheme="minorEastAsia"/>
          <w:color w:val="454545"/>
          <w:kern w:val="0"/>
          <w:sz w:val="44"/>
          <w:szCs w:val="44"/>
        </w:rPr>
      </w:pPr>
      <w:r>
        <w:rPr>
          <w:rFonts w:hint="eastAsia" w:ascii="仿宋_GB2312" w:hAnsi="微软雅黑" w:eastAsia="仿宋_GB2312" w:cs="宋体"/>
          <w:color w:val="454545"/>
          <w:kern w:val="0"/>
          <w:sz w:val="32"/>
          <w:szCs w:val="32"/>
        </w:rPr>
        <w:t>附件2</w:t>
      </w:r>
    </w:p>
    <w:p>
      <w:pPr>
        <w:widowControl/>
        <w:ind w:firstLine="880" w:firstLineChars="200"/>
        <w:jc w:val="center"/>
        <w:rPr>
          <w:rFonts w:cs="宋体" w:asciiTheme="minorEastAsia" w:hAnsiTheme="minorEastAsia"/>
          <w:color w:val="454545"/>
          <w:kern w:val="0"/>
          <w:sz w:val="44"/>
          <w:szCs w:val="44"/>
        </w:rPr>
      </w:pPr>
      <w:r>
        <w:rPr>
          <w:rFonts w:hint="eastAsia" w:cs="宋体" w:asciiTheme="minorEastAsia" w:hAnsiTheme="minorEastAsia"/>
          <w:color w:val="454545"/>
          <w:kern w:val="0"/>
          <w:sz w:val="44"/>
          <w:szCs w:val="44"/>
        </w:rPr>
        <w:t>2017年温州市红十字会人道救助专项资金预算安排</w:t>
      </w:r>
    </w:p>
    <w:p>
      <w:pPr>
        <w:widowControl/>
        <w:ind w:firstLine="640" w:firstLineChars="200"/>
        <w:jc w:val="left"/>
        <w:rPr>
          <w:rFonts w:ascii="仿宋_GB2312" w:hAnsi="微软雅黑" w:eastAsia="仿宋_GB2312" w:cs="宋体"/>
          <w:color w:val="454545"/>
          <w:kern w:val="0"/>
          <w:sz w:val="32"/>
          <w:szCs w:val="32"/>
        </w:rPr>
      </w:pPr>
    </w:p>
    <w:p>
      <w:pPr>
        <w:widowControl/>
        <w:ind w:firstLine="640" w:firstLineChars="200"/>
        <w:jc w:val="left"/>
        <w:rPr>
          <w:rFonts w:ascii="仿宋_GB2312" w:hAnsi="微软雅黑" w:eastAsia="仿宋_GB2312" w:cs="宋体"/>
          <w:color w:val="454545"/>
          <w:kern w:val="0"/>
          <w:sz w:val="32"/>
          <w:szCs w:val="32"/>
        </w:rPr>
      </w:pPr>
      <w:r>
        <w:rPr>
          <w:rFonts w:hint="eastAsia" w:ascii="仿宋_GB2312" w:hAnsi="微软雅黑" w:eastAsia="仿宋_GB2312" w:cs="宋体"/>
          <w:color w:val="454545"/>
          <w:kern w:val="0"/>
          <w:sz w:val="32"/>
          <w:szCs w:val="32"/>
        </w:rPr>
        <w:t>2017年温州市红十字会共预算安排人道救助专项资金150万元，主要用于以下项目：</w:t>
      </w:r>
    </w:p>
    <w:p>
      <w:pPr>
        <w:widowControl/>
        <w:ind w:firstLine="640" w:firstLineChars="200"/>
        <w:jc w:val="left"/>
        <w:rPr>
          <w:rFonts w:ascii="仿宋_GB2312" w:hAnsi="微软雅黑" w:eastAsia="仿宋_GB2312" w:cs="宋体"/>
          <w:color w:val="454545"/>
          <w:kern w:val="0"/>
          <w:sz w:val="32"/>
          <w:szCs w:val="32"/>
        </w:rPr>
      </w:pPr>
      <w:r>
        <w:rPr>
          <w:rFonts w:hint="eastAsia" w:ascii="仿宋_GB2312" w:hAnsi="微软雅黑" w:eastAsia="仿宋_GB2312" w:cs="宋体"/>
          <w:color w:val="454545"/>
          <w:kern w:val="0"/>
          <w:sz w:val="32"/>
          <w:szCs w:val="32"/>
        </w:rPr>
        <w:t>1.开展献血、造血干细胞捐献、人体器官（遗体、组织）捐献及有关影像视频制作、投放，栏目合作、广告发布等需经费65万元。</w:t>
      </w:r>
    </w:p>
    <w:p>
      <w:pPr>
        <w:widowControl/>
        <w:ind w:firstLine="640" w:firstLineChars="200"/>
        <w:jc w:val="left"/>
        <w:rPr>
          <w:rFonts w:ascii="仿宋_GB2312" w:hAnsi="微软雅黑" w:eastAsia="仿宋_GB2312" w:cs="宋体"/>
          <w:color w:val="454545"/>
          <w:kern w:val="0"/>
          <w:sz w:val="32"/>
          <w:szCs w:val="32"/>
        </w:rPr>
      </w:pPr>
      <w:r>
        <w:rPr>
          <w:rFonts w:hint="eastAsia" w:ascii="仿宋_GB2312" w:hAnsi="微软雅黑" w:eastAsia="仿宋_GB2312" w:cs="宋体"/>
          <w:color w:val="454545"/>
          <w:kern w:val="0"/>
          <w:sz w:val="32"/>
          <w:szCs w:val="32"/>
        </w:rPr>
        <w:t>2.开展应急救护培训、普及以及健康教育等需经费63.5万元。</w:t>
      </w:r>
    </w:p>
    <w:p>
      <w:pPr>
        <w:ind w:firstLine="640" w:firstLineChars="200"/>
        <w:rPr>
          <w:rFonts w:ascii="仿宋_GB2312" w:hAnsi="微软雅黑" w:eastAsia="仿宋_GB2312" w:cs="宋体"/>
          <w:color w:val="454545"/>
          <w:kern w:val="0"/>
          <w:sz w:val="32"/>
          <w:szCs w:val="32"/>
        </w:rPr>
      </w:pPr>
      <w:r>
        <w:rPr>
          <w:rFonts w:hint="eastAsia" w:ascii="仿宋_GB2312" w:hAnsi="微软雅黑" w:eastAsia="仿宋_GB2312" w:cs="宋体"/>
          <w:color w:val="454545"/>
          <w:kern w:val="0"/>
          <w:sz w:val="32"/>
          <w:szCs w:val="32"/>
        </w:rPr>
        <w:t>3.开展学校夏令营（训练营）活动，需经费3万元；</w:t>
      </w:r>
      <w:r>
        <w:rPr>
          <w:rFonts w:hint="eastAsia" w:ascii="仿宋_GB2312" w:hAnsi="微软雅黑" w:eastAsia="仿宋_GB2312" w:cs="宋体"/>
          <w:color w:val="454545"/>
          <w:kern w:val="0"/>
          <w:sz w:val="32"/>
          <w:szCs w:val="32"/>
        </w:rPr>
        <w:cr/>
      </w:r>
      <w:r>
        <w:rPr>
          <w:rFonts w:hint="eastAsia" w:ascii="仿宋_GB2312" w:hAnsi="微软雅黑" w:eastAsia="仿宋_GB2312" w:cs="宋体"/>
          <w:color w:val="454545"/>
          <w:kern w:val="0"/>
          <w:sz w:val="32"/>
          <w:szCs w:val="32"/>
        </w:rPr>
        <w:t xml:space="preserve">    4.组织建设（包括阵地、志愿者等）等工作，需经费2万元；</w:t>
      </w:r>
      <w:r>
        <w:rPr>
          <w:rFonts w:hint="eastAsia" w:ascii="仿宋_GB2312" w:hAnsi="微软雅黑" w:eastAsia="仿宋_GB2312" w:cs="宋体"/>
          <w:color w:val="454545"/>
          <w:kern w:val="0"/>
          <w:sz w:val="32"/>
          <w:szCs w:val="32"/>
        </w:rPr>
        <w:cr/>
      </w:r>
      <w:r>
        <w:rPr>
          <w:rFonts w:hint="eastAsia" w:ascii="仿宋_GB2312" w:hAnsi="微软雅黑" w:eastAsia="仿宋_GB2312" w:cs="宋体"/>
          <w:color w:val="454545"/>
          <w:kern w:val="0"/>
          <w:sz w:val="32"/>
          <w:szCs w:val="32"/>
        </w:rPr>
        <w:t xml:space="preserve">    5.志愿者服务队伍建设及开展志愿服务活动，需经费4万元。</w:t>
      </w:r>
    </w:p>
    <w:p>
      <w:pPr>
        <w:ind w:firstLine="640" w:firstLineChars="200"/>
        <w:rPr>
          <w:rFonts w:ascii="仿宋_GB2312" w:hAnsi="微软雅黑" w:eastAsia="仿宋_GB2312" w:cs="宋体"/>
          <w:color w:val="454545"/>
          <w:kern w:val="0"/>
          <w:sz w:val="32"/>
          <w:szCs w:val="32"/>
        </w:rPr>
      </w:pPr>
      <w:r>
        <w:rPr>
          <w:rFonts w:hint="eastAsia" w:ascii="仿宋_GB2312" w:hAnsi="微软雅黑" w:eastAsia="仿宋_GB2312" w:cs="宋体"/>
          <w:color w:val="454545"/>
          <w:kern w:val="0"/>
          <w:sz w:val="32"/>
          <w:szCs w:val="32"/>
        </w:rPr>
        <w:t>6.全年底完成造血干细胞采集入库800人份，需经费9.5万元。</w:t>
      </w:r>
    </w:p>
    <w:p>
      <w:pPr>
        <w:ind w:firstLine="640" w:firstLineChars="200"/>
        <w:rPr>
          <w:rFonts w:ascii="仿宋_GB2312" w:hAnsi="微软雅黑" w:eastAsia="仿宋_GB2312" w:cs="宋体"/>
          <w:color w:val="454545"/>
          <w:kern w:val="0"/>
          <w:sz w:val="32"/>
          <w:szCs w:val="32"/>
        </w:rPr>
      </w:pPr>
      <w:r>
        <w:rPr>
          <w:rFonts w:hint="eastAsia" w:ascii="仿宋_GB2312" w:hAnsi="微软雅黑" w:eastAsia="仿宋_GB2312" w:cs="宋体"/>
          <w:color w:val="454545"/>
          <w:kern w:val="0"/>
          <w:sz w:val="32"/>
          <w:szCs w:val="32"/>
        </w:rPr>
        <w:t>7.开展救灾备灾，需经费3万元。</w:t>
      </w:r>
    </w:p>
    <w:p>
      <w:pPr>
        <w:widowControl/>
        <w:jc w:val="left"/>
        <w:rPr>
          <w:rFonts w:ascii="仿宋_GB2312" w:hAnsi="微软雅黑" w:eastAsia="仿宋_GB2312" w:cs="宋体"/>
          <w:color w:val="454545"/>
          <w:kern w:val="0"/>
          <w:sz w:val="32"/>
          <w:szCs w:val="32"/>
        </w:rPr>
      </w:pPr>
    </w:p>
    <w:p>
      <w:pPr>
        <w:widowControl/>
        <w:jc w:val="left"/>
        <w:rPr>
          <w:rFonts w:ascii="仿宋_GB2312" w:hAnsi="微软雅黑" w:eastAsia="仿宋_GB2312" w:cs="宋体"/>
          <w:color w:val="454545"/>
          <w:kern w:val="0"/>
          <w:sz w:val="32"/>
          <w:szCs w:val="32"/>
        </w:rPr>
      </w:pPr>
    </w:p>
    <w:p>
      <w:pPr>
        <w:widowControl/>
        <w:jc w:val="left"/>
        <w:rPr>
          <w:rFonts w:ascii="仿宋_GB2312" w:hAnsi="微软雅黑" w:eastAsia="仿宋_GB2312" w:cs="宋体"/>
          <w:color w:val="454545"/>
          <w:kern w:val="0"/>
          <w:sz w:val="32"/>
          <w:szCs w:val="32"/>
        </w:rPr>
      </w:pPr>
    </w:p>
    <w:p>
      <w:pPr>
        <w:widowControl/>
        <w:jc w:val="left"/>
        <w:rPr>
          <w:rFonts w:ascii="仿宋_GB2312" w:hAnsi="微软雅黑" w:eastAsia="仿宋_GB2312" w:cs="宋体"/>
          <w:color w:val="454545"/>
          <w:kern w:val="0"/>
          <w:sz w:val="32"/>
          <w:szCs w:val="32"/>
        </w:rPr>
      </w:pPr>
    </w:p>
    <w:p>
      <w:pPr>
        <w:widowControl/>
        <w:jc w:val="left"/>
        <w:rPr>
          <w:rFonts w:hint="eastAsia" w:ascii="仿宋_GB2312" w:hAnsi="微软雅黑" w:eastAsia="仿宋_GB2312" w:cs="宋体"/>
          <w:color w:val="454545"/>
          <w:kern w:val="0"/>
          <w:sz w:val="32"/>
          <w:szCs w:val="32"/>
        </w:rPr>
      </w:pPr>
    </w:p>
    <w:p>
      <w:pPr>
        <w:widowControl/>
        <w:jc w:val="left"/>
        <w:rPr>
          <w:rFonts w:ascii="仿宋_GB2312" w:hAnsi="微软雅黑" w:eastAsia="仿宋_GB2312" w:cs="宋体"/>
          <w:color w:val="454545"/>
          <w:kern w:val="0"/>
          <w:sz w:val="32"/>
          <w:szCs w:val="32"/>
        </w:rPr>
      </w:pPr>
      <w:bookmarkStart w:id="0" w:name="_GoBack"/>
      <w:bookmarkEnd w:id="0"/>
      <w:r>
        <w:rPr>
          <w:rFonts w:hint="eastAsia" w:ascii="仿宋_GB2312" w:hAnsi="微软雅黑" w:eastAsia="仿宋_GB2312" w:cs="宋体"/>
          <w:color w:val="454545"/>
          <w:kern w:val="0"/>
          <w:sz w:val="32"/>
          <w:szCs w:val="32"/>
        </w:rPr>
        <w:t>附件3</w:t>
      </w:r>
    </w:p>
    <w:p>
      <w:pPr>
        <w:widowControl/>
        <w:jc w:val="left"/>
        <w:rPr>
          <w:rFonts w:ascii="仿宋_GB2312" w:hAnsi="微软雅黑" w:eastAsia="仿宋_GB2312" w:cs="宋体"/>
          <w:color w:val="454545"/>
          <w:kern w:val="0"/>
          <w:sz w:val="32"/>
          <w:szCs w:val="32"/>
        </w:rPr>
      </w:pPr>
    </w:p>
    <w:p>
      <w:pPr>
        <w:pStyle w:val="4"/>
        <w:shd w:val="clear" w:color="auto" w:fill="FFFFFF"/>
        <w:spacing w:before="0" w:beforeAutospacing="0" w:after="0" w:afterAutospacing="0" w:line="560" w:lineRule="exact"/>
        <w:jc w:val="center"/>
        <w:rPr>
          <w:rStyle w:val="6"/>
          <w:rFonts w:asciiTheme="minorEastAsia" w:hAnsiTheme="minorEastAsia" w:eastAsiaTheme="minorEastAsia"/>
          <w:color w:val="3D3D3D"/>
          <w:sz w:val="44"/>
          <w:szCs w:val="44"/>
        </w:rPr>
      </w:pPr>
      <w:r>
        <w:rPr>
          <w:rStyle w:val="6"/>
          <w:rFonts w:hint="eastAsia" w:asciiTheme="minorEastAsia" w:hAnsiTheme="minorEastAsia" w:eastAsiaTheme="minorEastAsia"/>
          <w:color w:val="3D3D3D"/>
          <w:sz w:val="44"/>
          <w:szCs w:val="44"/>
        </w:rPr>
        <w:t>温州市红十字会人道救助</w:t>
      </w:r>
      <w:r>
        <w:rPr>
          <w:rFonts w:hint="eastAsia" w:asciiTheme="minorEastAsia" w:hAnsiTheme="minorEastAsia" w:eastAsiaTheme="minorEastAsia"/>
          <w:b/>
          <w:color w:val="000000"/>
          <w:sz w:val="44"/>
          <w:szCs w:val="44"/>
        </w:rPr>
        <w:t>市级财政</w:t>
      </w:r>
      <w:r>
        <w:rPr>
          <w:rStyle w:val="6"/>
          <w:rFonts w:hint="eastAsia" w:asciiTheme="minorEastAsia" w:hAnsiTheme="minorEastAsia" w:eastAsiaTheme="minorEastAsia"/>
          <w:color w:val="3D3D3D"/>
          <w:sz w:val="44"/>
          <w:szCs w:val="44"/>
        </w:rPr>
        <w:t>专项资金</w:t>
      </w:r>
    </w:p>
    <w:p>
      <w:pPr>
        <w:pStyle w:val="4"/>
        <w:shd w:val="clear" w:color="auto" w:fill="FFFFFF"/>
        <w:spacing w:before="0" w:beforeAutospacing="0" w:after="0" w:afterAutospacing="0" w:line="560" w:lineRule="exact"/>
        <w:jc w:val="center"/>
        <w:rPr>
          <w:rFonts w:asciiTheme="minorEastAsia" w:hAnsiTheme="minorEastAsia" w:eastAsiaTheme="minorEastAsia"/>
          <w:b/>
          <w:color w:val="000000"/>
          <w:sz w:val="44"/>
          <w:szCs w:val="44"/>
        </w:rPr>
      </w:pPr>
      <w:r>
        <w:rPr>
          <w:rStyle w:val="6"/>
          <w:rFonts w:hint="eastAsia" w:asciiTheme="minorEastAsia" w:hAnsiTheme="minorEastAsia" w:eastAsiaTheme="minorEastAsia"/>
          <w:color w:val="3D3D3D"/>
          <w:sz w:val="44"/>
          <w:szCs w:val="44"/>
        </w:rPr>
        <w:t>管理办法（试 行）</w:t>
      </w:r>
    </w:p>
    <w:p>
      <w:pPr>
        <w:pStyle w:val="4"/>
        <w:shd w:val="clear" w:color="auto" w:fill="FFFFFF"/>
        <w:spacing w:before="0" w:beforeAutospacing="0" w:after="0" w:afterAutospacing="0" w:line="560" w:lineRule="exact"/>
        <w:rPr>
          <w:rStyle w:val="6"/>
          <w:rFonts w:ascii="仿宋_GB2312" w:eastAsia="仿宋_GB2312"/>
          <w:color w:val="3D3D3D"/>
          <w:sz w:val="28"/>
          <w:szCs w:val="28"/>
        </w:rPr>
      </w:pPr>
    </w:p>
    <w:p>
      <w:pPr>
        <w:pStyle w:val="4"/>
        <w:shd w:val="clear" w:color="auto" w:fill="FFFFFF"/>
        <w:spacing w:before="0" w:beforeAutospacing="0" w:after="0" w:afterAutospacing="0" w:line="560" w:lineRule="exact"/>
        <w:ind w:firstLine="645"/>
        <w:rPr>
          <w:rFonts w:ascii="仿宋_GB2312" w:eastAsia="仿宋_GB2312"/>
          <w:color w:val="000000"/>
          <w:sz w:val="32"/>
          <w:szCs w:val="32"/>
        </w:rPr>
      </w:pPr>
      <w:r>
        <w:rPr>
          <w:rFonts w:hint="eastAsia" w:ascii="仿宋_GB2312" w:eastAsia="仿宋_GB2312"/>
          <w:b/>
          <w:color w:val="000000"/>
          <w:sz w:val="32"/>
          <w:szCs w:val="32"/>
        </w:rPr>
        <w:t>第一条</w:t>
      </w:r>
      <w:r>
        <w:rPr>
          <w:rFonts w:hint="eastAsia" w:ascii="仿宋_GB2312" w:eastAsia="仿宋_GB2312"/>
          <w:color w:val="000000"/>
          <w:sz w:val="32"/>
          <w:szCs w:val="32"/>
        </w:rPr>
        <w:t xml:space="preserve"> </w:t>
      </w:r>
      <w:r>
        <w:rPr>
          <w:rFonts w:hint="eastAsia" w:ascii="仿宋_GB2312" w:hAnsi="Hiragino Sans GB" w:eastAsia="仿宋_GB2312" w:cs="Arial"/>
          <w:color w:val="333333"/>
          <w:sz w:val="32"/>
          <w:szCs w:val="32"/>
        </w:rPr>
        <w:t>为合理、有效、规范使用</w:t>
      </w:r>
      <w:r>
        <w:rPr>
          <w:rFonts w:hint="eastAsia" w:ascii="仿宋_GB2312" w:eastAsia="仿宋_GB2312"/>
          <w:color w:val="000000"/>
          <w:sz w:val="32"/>
          <w:szCs w:val="32"/>
        </w:rPr>
        <w:t>人道救助</w:t>
      </w:r>
      <w:r>
        <w:rPr>
          <w:rFonts w:hint="eastAsia" w:ascii="仿宋_GB2312" w:hAnsi="Hiragino Sans GB" w:eastAsia="仿宋_GB2312" w:cs="Arial"/>
          <w:color w:val="333333"/>
          <w:sz w:val="32"/>
          <w:szCs w:val="32"/>
        </w:rPr>
        <w:t>专项资金，</w:t>
      </w:r>
      <w:r>
        <w:rPr>
          <w:rFonts w:hint="eastAsia" w:ascii="仿宋_GB2312" w:eastAsia="仿宋_GB2312"/>
          <w:color w:val="000000"/>
          <w:sz w:val="32"/>
          <w:szCs w:val="32"/>
        </w:rPr>
        <w:t>进一步推动红十字事业发展，根据《中华人民共和国红十字会法》、《中国红十字会章程》以及财政资金管理有关规定，结合本会工作实际，特制定《温州市红十字会人道救助市级财政专项资金管理办法（试行）》。</w:t>
      </w:r>
    </w:p>
    <w:p>
      <w:pPr>
        <w:pStyle w:val="4"/>
        <w:shd w:val="clear" w:color="auto" w:fill="FFFFFF"/>
        <w:spacing w:before="0" w:beforeAutospacing="0" w:after="0" w:afterAutospacing="0" w:line="560" w:lineRule="exact"/>
        <w:ind w:firstLine="645"/>
        <w:rPr>
          <w:rFonts w:ascii="仿宋_GB2312" w:eastAsia="仿宋_GB2312"/>
          <w:color w:val="3D3D3D"/>
          <w:sz w:val="32"/>
          <w:szCs w:val="32"/>
        </w:rPr>
      </w:pPr>
      <w:r>
        <w:rPr>
          <w:rFonts w:hint="eastAsia" w:ascii="仿宋_GB2312" w:eastAsia="仿宋_GB2312"/>
          <w:b/>
          <w:color w:val="000000"/>
          <w:sz w:val="32"/>
          <w:szCs w:val="32"/>
        </w:rPr>
        <w:t>第二条</w:t>
      </w:r>
      <w:r>
        <w:rPr>
          <w:rFonts w:hint="eastAsia" w:ascii="仿宋_GB2312" w:eastAsia="仿宋_GB2312"/>
          <w:color w:val="000000"/>
          <w:sz w:val="32"/>
          <w:szCs w:val="32"/>
        </w:rPr>
        <w:t xml:space="preserve"> 人道救助市级财政专项资金（以下简称“专项资金”）</w:t>
      </w:r>
      <w:r>
        <w:rPr>
          <w:rFonts w:hint="eastAsia" w:ascii="仿宋_GB2312" w:eastAsia="仿宋_GB2312"/>
          <w:sz w:val="32"/>
          <w:szCs w:val="32"/>
        </w:rPr>
        <w:t>是指在市级财政专项资金中安排，</w:t>
      </w:r>
      <w:r>
        <w:rPr>
          <w:rFonts w:hint="eastAsia" w:ascii="仿宋_GB2312" w:eastAsia="仿宋_GB2312"/>
          <w:color w:val="333333"/>
          <w:sz w:val="32"/>
          <w:szCs w:val="32"/>
        </w:rPr>
        <w:t>专门用于人道传播、“三救三献”核心业务、基层组织（阵地）建设和志愿服务等工作的市级补助资金。</w:t>
      </w:r>
    </w:p>
    <w:p>
      <w:pPr>
        <w:pStyle w:val="4"/>
        <w:shd w:val="clear" w:color="auto" w:fill="FFFFFF"/>
        <w:spacing w:before="0" w:beforeAutospacing="0" w:after="0" w:afterAutospacing="0" w:line="560" w:lineRule="exact"/>
        <w:ind w:firstLine="645"/>
        <w:rPr>
          <w:rFonts w:ascii="仿宋_GB2312" w:eastAsia="仿宋_GB2312"/>
          <w:color w:val="000000"/>
          <w:sz w:val="32"/>
          <w:szCs w:val="32"/>
        </w:rPr>
      </w:pPr>
      <w:r>
        <w:rPr>
          <w:rFonts w:hint="eastAsia" w:ascii="仿宋_GB2312" w:eastAsia="仿宋_GB2312"/>
          <w:b/>
          <w:color w:val="000000"/>
          <w:sz w:val="32"/>
          <w:szCs w:val="32"/>
        </w:rPr>
        <w:t>第三条</w:t>
      </w:r>
      <w:r>
        <w:rPr>
          <w:rFonts w:hint="eastAsia" w:ascii="仿宋_GB2312" w:eastAsia="仿宋_GB2312"/>
          <w:color w:val="000000"/>
          <w:sz w:val="32"/>
          <w:szCs w:val="32"/>
        </w:rPr>
        <w:t xml:space="preserve"> 专项资金使用原则</w:t>
      </w:r>
    </w:p>
    <w:p>
      <w:pPr>
        <w:pStyle w:val="4"/>
        <w:shd w:val="clear" w:color="auto" w:fill="FFFFFF"/>
        <w:spacing w:before="0" w:beforeAutospacing="0" w:after="0" w:afterAutospacing="0"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（一）量入为出，绩效管理。</w:t>
      </w:r>
    </w:p>
    <w:p>
      <w:pPr>
        <w:pStyle w:val="4"/>
        <w:shd w:val="clear" w:color="auto" w:fill="FFFFFF"/>
        <w:spacing w:before="0" w:beforeAutospacing="0" w:after="0" w:afterAutospacing="0" w:line="560" w:lineRule="exact"/>
        <w:ind w:firstLine="643" w:firstLineChars="201"/>
        <w:rPr>
          <w:rFonts w:ascii="仿宋_GB2312" w:eastAsia="仿宋_GB2312"/>
          <w:color w:val="3D3D3D"/>
          <w:sz w:val="32"/>
          <w:szCs w:val="32"/>
        </w:rPr>
      </w:pPr>
      <w:r>
        <w:rPr>
          <w:rFonts w:hint="eastAsia" w:ascii="仿宋_GB2312" w:eastAsia="仿宋_GB2312"/>
          <w:color w:val="000000"/>
          <w:sz w:val="32"/>
          <w:szCs w:val="32"/>
        </w:rPr>
        <w:t>（二）符合红十字会宗旨，突出社会效益，有利工作推动和事业发展。</w:t>
      </w:r>
    </w:p>
    <w:p>
      <w:pPr>
        <w:pStyle w:val="4"/>
        <w:shd w:val="clear" w:color="auto" w:fill="FFFFFF"/>
        <w:spacing w:before="0" w:beforeAutospacing="0" w:after="0" w:afterAutospacing="0" w:line="560" w:lineRule="exact"/>
        <w:ind w:firstLine="645"/>
        <w:rPr>
          <w:rFonts w:ascii="仿宋_GB2312" w:eastAsia="仿宋_GB2312"/>
          <w:color w:val="3D3D3D"/>
          <w:sz w:val="32"/>
          <w:szCs w:val="32"/>
        </w:rPr>
      </w:pPr>
      <w:r>
        <w:rPr>
          <w:rFonts w:hint="eastAsia" w:ascii="仿宋_GB2312" w:eastAsia="仿宋_GB2312"/>
          <w:b/>
          <w:color w:val="000000"/>
          <w:sz w:val="32"/>
          <w:szCs w:val="32"/>
        </w:rPr>
        <w:t>第四条</w:t>
      </w:r>
      <w:r>
        <w:rPr>
          <w:rFonts w:hint="eastAsia" w:ascii="仿宋_GB2312" w:eastAsia="仿宋_GB2312"/>
          <w:color w:val="000000"/>
          <w:sz w:val="32"/>
          <w:szCs w:val="32"/>
        </w:rPr>
        <w:t xml:space="preserve"> 专项资金使用范围</w:t>
      </w:r>
    </w:p>
    <w:p>
      <w:pPr>
        <w:pStyle w:val="4"/>
        <w:shd w:val="clear" w:color="auto" w:fill="FFFFFF"/>
        <w:spacing w:before="0" w:beforeAutospacing="0" w:after="0" w:afterAutospacing="0" w:line="560" w:lineRule="exact"/>
        <w:ind w:firstLine="640" w:firstLineChars="200"/>
        <w:rPr>
          <w:rFonts w:ascii="仿宋_GB2312" w:eastAsia="仿宋_GB2312"/>
          <w:color w:val="333333"/>
          <w:sz w:val="32"/>
          <w:szCs w:val="32"/>
        </w:rPr>
      </w:pPr>
      <w:r>
        <w:rPr>
          <w:rFonts w:hint="eastAsia" w:ascii="仿宋_GB2312" w:eastAsia="仿宋_GB2312"/>
          <w:color w:val="000000"/>
          <w:sz w:val="32"/>
          <w:szCs w:val="32"/>
        </w:rPr>
        <w:t>（一）</w:t>
      </w:r>
      <w:r>
        <w:rPr>
          <w:rFonts w:hint="eastAsia" w:ascii="仿宋_GB2312" w:eastAsia="仿宋_GB2312"/>
          <w:color w:val="333333"/>
          <w:sz w:val="32"/>
          <w:szCs w:val="32"/>
        </w:rPr>
        <w:t>人道传播工作经费</w:t>
      </w:r>
    </w:p>
    <w:p>
      <w:pPr>
        <w:pStyle w:val="4"/>
        <w:shd w:val="clear" w:color="auto" w:fill="FFFFFF"/>
        <w:spacing w:before="0" w:beforeAutospacing="0" w:after="0" w:afterAutospacing="0" w:line="560" w:lineRule="exact"/>
        <w:ind w:firstLine="640" w:firstLineChars="200"/>
        <w:rPr>
          <w:rFonts w:ascii="仿宋_GB2312" w:eastAsia="仿宋_GB2312"/>
          <w:color w:val="333333"/>
          <w:sz w:val="32"/>
          <w:szCs w:val="32"/>
        </w:rPr>
      </w:pPr>
      <w:r>
        <w:rPr>
          <w:rFonts w:hint="eastAsia" w:ascii="仿宋_GB2312" w:eastAsia="仿宋_GB2312"/>
          <w:color w:val="333333"/>
          <w:sz w:val="32"/>
          <w:szCs w:val="32"/>
        </w:rPr>
        <w:t>主要用于：</w:t>
      </w:r>
      <w:r>
        <w:rPr>
          <w:rFonts w:hint="eastAsia" w:ascii="仿宋_GB2312" w:eastAsia="仿宋_GB2312"/>
          <w:color w:val="000000"/>
          <w:sz w:val="32"/>
          <w:szCs w:val="32"/>
        </w:rPr>
        <w:t>（1）制作公益宣传片、宣传资料；（2）重大纪念日各类传播活动；（3）评选表彰先进；（4）借助媒体开展红十字精神传播和红十字运动知识、先进事迹以及</w:t>
      </w:r>
      <w:r>
        <w:rPr>
          <w:rFonts w:hint="eastAsia" w:ascii="仿宋_GB2312" w:eastAsia="仿宋_GB2312"/>
          <w:color w:val="333333"/>
          <w:sz w:val="32"/>
          <w:szCs w:val="32"/>
        </w:rPr>
        <w:t>“三救三献”公益宣传</w:t>
      </w:r>
      <w:r>
        <w:rPr>
          <w:rFonts w:hint="eastAsia" w:ascii="仿宋_GB2312" w:eastAsia="仿宋_GB2312"/>
          <w:color w:val="000000"/>
          <w:sz w:val="32"/>
          <w:szCs w:val="32"/>
        </w:rPr>
        <w:t>；（5）红十字大讲堂和主题文化沙龙、专题讲座等。</w:t>
      </w:r>
    </w:p>
    <w:p>
      <w:pPr>
        <w:pStyle w:val="4"/>
        <w:shd w:val="clear" w:color="auto" w:fill="FFFFFF"/>
        <w:spacing w:before="0" w:beforeAutospacing="0" w:after="0" w:afterAutospacing="0" w:line="560" w:lineRule="exact"/>
        <w:ind w:firstLine="640" w:firstLineChars="200"/>
        <w:rPr>
          <w:rFonts w:ascii="仿宋_GB2312" w:eastAsia="仿宋_GB2312"/>
          <w:color w:val="333333"/>
          <w:sz w:val="32"/>
          <w:szCs w:val="32"/>
        </w:rPr>
      </w:pPr>
      <w:r>
        <w:rPr>
          <w:rFonts w:hint="eastAsia" w:ascii="仿宋_GB2312" w:eastAsia="仿宋_GB2312"/>
          <w:color w:val="000000"/>
          <w:sz w:val="32"/>
          <w:szCs w:val="32"/>
        </w:rPr>
        <w:t>（二）</w:t>
      </w:r>
      <w:r>
        <w:rPr>
          <w:rFonts w:hint="eastAsia" w:ascii="仿宋_GB2312" w:eastAsia="仿宋_GB2312"/>
          <w:color w:val="333333"/>
          <w:sz w:val="32"/>
          <w:szCs w:val="32"/>
        </w:rPr>
        <w:t>“三救三献”工作经费</w:t>
      </w:r>
    </w:p>
    <w:p>
      <w:pPr>
        <w:pStyle w:val="4"/>
        <w:shd w:val="clear" w:color="auto" w:fill="FFFFFF"/>
        <w:spacing w:before="0" w:beforeAutospacing="0" w:after="0" w:afterAutospacing="0"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1、备灾救灾救助工作经费</w:t>
      </w:r>
    </w:p>
    <w:p>
      <w:pPr>
        <w:pStyle w:val="4"/>
        <w:shd w:val="clear" w:color="auto" w:fill="FFFFFF"/>
        <w:spacing w:before="0" w:beforeAutospacing="0" w:after="0" w:afterAutospacing="0"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主要用于：（1）自然灾害发生时的救援救助工作经费，包括交通、物资运输、救援志愿者食宿、服装（标识）购置、救援装备购置等；（2）备灾救灾物资库建造、设备购置以及日常管理、维护；（3）开展各类募捐、救助、慰问等主题活动。</w:t>
      </w:r>
    </w:p>
    <w:p>
      <w:pPr>
        <w:pStyle w:val="4"/>
        <w:shd w:val="clear" w:color="auto" w:fill="FFFFFF"/>
        <w:spacing w:before="0" w:beforeAutospacing="0" w:after="0" w:afterAutospacing="0"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2、应急救护工作经费</w:t>
      </w:r>
    </w:p>
    <w:p>
      <w:pPr>
        <w:pStyle w:val="4"/>
        <w:shd w:val="clear" w:color="auto" w:fill="FFFFFF"/>
        <w:spacing w:before="0" w:beforeAutospacing="0" w:after="0" w:afterAutospacing="0"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主要用于：（1）应急救护培训工作经费，包括培训管理项目（购买服务）、师资授课、场地租赁、教学器教材购置（制作）等；（2）师资培养培训、教学交流学习；（3）救护知识宣传普及、应急救护技能比赛和现场情景演练等活动。</w:t>
      </w:r>
    </w:p>
    <w:p>
      <w:pPr>
        <w:pStyle w:val="4"/>
        <w:shd w:val="clear" w:color="auto" w:fill="FFFFFF"/>
        <w:spacing w:before="0" w:beforeAutospacing="0" w:after="0" w:afterAutospacing="0"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3、造血干细胞工作经费</w:t>
      </w:r>
    </w:p>
    <w:p>
      <w:pPr>
        <w:pStyle w:val="4"/>
        <w:shd w:val="clear" w:color="auto" w:fill="FFFFFF"/>
        <w:spacing w:before="0" w:beforeAutospacing="0" w:after="0" w:afterAutospacing="0"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主要用于：（1）开展造血干细胞采集、捐献知识（包括献血）宣传活动、会议、培训，包括活动现场布置、场租等；（2）实现捐献志愿者和陪同人员的食宿、交通、慰问、体检费等。</w:t>
      </w:r>
    </w:p>
    <w:p>
      <w:pPr>
        <w:pStyle w:val="4"/>
        <w:shd w:val="clear" w:color="auto" w:fill="FFFFFF"/>
        <w:spacing w:before="0" w:beforeAutospacing="0" w:after="0" w:afterAutospacing="0"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4、遗体（人体器官、角膜）捐献工作经费</w:t>
      </w:r>
    </w:p>
    <w:p>
      <w:pPr>
        <w:pStyle w:val="4"/>
        <w:shd w:val="clear" w:color="auto" w:fill="FFFFFF"/>
        <w:spacing w:before="0" w:beforeAutospacing="0" w:after="0" w:afterAutospacing="0"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主要用于：（1）遗体（人体器官、角膜）捐献知识宣传活动、会议、培训；（2）遗体（人体器官、角膜）捐献者纪念园建设；（3）遗体（人体器官、角膜）捐献者缅怀活动以及捐献者家属食宿、交通、慰问费用；（4）遗体（人体器官、角膜）捐献协调员开展捐献工作所需的食宿、交通费（包括出租车费）和善后人道慰问服务经费等。</w:t>
      </w:r>
    </w:p>
    <w:p>
      <w:pPr>
        <w:pStyle w:val="4"/>
        <w:shd w:val="clear" w:color="auto" w:fill="FFFFFF"/>
        <w:spacing w:before="0" w:beforeAutospacing="0" w:after="0" w:afterAutospacing="0" w:line="560" w:lineRule="exact"/>
        <w:ind w:firstLine="640" w:firstLineChars="200"/>
        <w:rPr>
          <w:rFonts w:ascii="仿宋_GB2312" w:eastAsia="仿宋_GB2312"/>
          <w:color w:val="333333"/>
          <w:sz w:val="32"/>
          <w:szCs w:val="32"/>
        </w:rPr>
      </w:pPr>
      <w:r>
        <w:rPr>
          <w:rFonts w:hint="eastAsia" w:ascii="仿宋_GB2312" w:eastAsia="仿宋_GB2312"/>
          <w:color w:val="333333"/>
          <w:sz w:val="32"/>
          <w:szCs w:val="32"/>
        </w:rPr>
        <w:t>（三）基层组织（阵地）建设工作经费</w:t>
      </w:r>
    </w:p>
    <w:p>
      <w:pPr>
        <w:pStyle w:val="4"/>
        <w:shd w:val="clear" w:color="auto" w:fill="FFFFFF"/>
        <w:spacing w:before="0" w:beforeAutospacing="0" w:after="0" w:afterAutospacing="0"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主要用于：（1）乡镇（街道）、社区（村）、两新组织和学校红十字会建设工作经费，包括匾牌制作、会议、培训、各类主题活动等；（2）各类宣传阵地、救护站点、培训基地、心理驿站建设工作经费，包括主题文化宣传公园、宣传栏（窗、廊、架、石凳等）建设，救护站点的药品配置、配套器材购置和设备更新维护以及救护站点、培训基地、心理驿站标准化建设等工作。</w:t>
      </w:r>
    </w:p>
    <w:p>
      <w:pPr>
        <w:pStyle w:val="4"/>
        <w:shd w:val="clear" w:color="auto" w:fill="FFFFFF"/>
        <w:spacing w:before="0" w:beforeAutospacing="0" w:after="0" w:afterAutospacing="0"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（四）志愿者服务工作经费</w:t>
      </w:r>
    </w:p>
    <w:p>
      <w:pPr>
        <w:pStyle w:val="4"/>
        <w:shd w:val="clear" w:color="auto" w:fill="FFFFFF"/>
        <w:spacing w:before="0" w:beforeAutospacing="0" w:after="0" w:afterAutospacing="0"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主要用于：（1）组织志愿者开展的各类会议、活动经费，包括现场布置、资料制作、志愿者的食宿、交通等费用；（2）志愿者服务队伍建设工作经费，包括志愿者素质和能力提升培训、志愿者救援演练、保险费以及志愿者服装、救援装备购置等；（3）委托志愿者组织或由其他社会组织购买开展的服务项目经费保障。</w:t>
      </w:r>
    </w:p>
    <w:p>
      <w:pPr>
        <w:pStyle w:val="4"/>
        <w:shd w:val="clear" w:color="auto" w:fill="FFFFFF"/>
        <w:spacing w:before="0" w:beforeAutospacing="0" w:after="0" w:afterAutospacing="0" w:line="560" w:lineRule="exact"/>
        <w:ind w:firstLine="643" w:firstLineChars="200"/>
        <w:rPr>
          <w:rFonts w:ascii="仿宋_GB2312" w:eastAsia="仿宋_GB2312"/>
          <w:color w:val="000000"/>
          <w:sz w:val="32"/>
          <w:szCs w:val="32"/>
        </w:rPr>
      </w:pPr>
      <w:r>
        <w:rPr>
          <w:rFonts w:hint="eastAsia" w:ascii="仿宋_GB2312" w:eastAsia="仿宋_GB2312"/>
          <w:b/>
          <w:color w:val="000000"/>
          <w:sz w:val="32"/>
          <w:szCs w:val="32"/>
        </w:rPr>
        <w:t xml:space="preserve">第五条 </w:t>
      </w:r>
      <w:r>
        <w:rPr>
          <w:rFonts w:hint="eastAsia" w:ascii="仿宋_GB2312" w:eastAsia="仿宋_GB2312"/>
          <w:color w:val="000000"/>
          <w:sz w:val="32"/>
          <w:szCs w:val="32"/>
        </w:rPr>
        <w:t>其他经费。其他经费支出，经市红十字会初审后，报市财税局审核。</w:t>
      </w:r>
    </w:p>
    <w:p>
      <w:pPr>
        <w:pStyle w:val="4"/>
        <w:shd w:val="clear" w:color="auto" w:fill="FFFFFF"/>
        <w:spacing w:before="0" w:beforeAutospacing="0" w:after="0" w:afterAutospacing="0" w:line="560" w:lineRule="exact"/>
        <w:ind w:firstLine="643" w:firstLineChars="200"/>
        <w:rPr>
          <w:rFonts w:ascii="仿宋_GB2312" w:eastAsia="仿宋_GB2312"/>
          <w:color w:val="000000"/>
          <w:sz w:val="32"/>
          <w:szCs w:val="32"/>
        </w:rPr>
      </w:pPr>
      <w:r>
        <w:rPr>
          <w:rFonts w:hint="eastAsia" w:ascii="仿宋_GB2312" w:eastAsia="仿宋_GB2312"/>
          <w:b/>
          <w:color w:val="000000"/>
          <w:sz w:val="32"/>
          <w:szCs w:val="32"/>
        </w:rPr>
        <w:t xml:space="preserve">第六条 </w:t>
      </w:r>
      <w:r>
        <w:rPr>
          <w:rFonts w:hint="eastAsia" w:ascii="仿宋_GB2312" w:eastAsia="仿宋_GB2312"/>
          <w:color w:val="000000"/>
          <w:sz w:val="32"/>
          <w:szCs w:val="32"/>
        </w:rPr>
        <w:t>市财政局、市红十字会可根据国家和省红十字会事业发展变化，对上述具体项目设置做适当调整。</w:t>
      </w:r>
    </w:p>
    <w:p>
      <w:pPr>
        <w:pStyle w:val="4"/>
        <w:shd w:val="clear" w:color="auto" w:fill="FFFFFF"/>
        <w:spacing w:before="0" w:beforeAutospacing="0" w:after="0" w:afterAutospacing="0" w:line="560" w:lineRule="exact"/>
        <w:ind w:firstLine="630" w:firstLineChars="196"/>
        <w:rPr>
          <w:rFonts w:ascii="仿宋_GB2312" w:eastAsia="仿宋_GB2312"/>
          <w:color w:val="000000"/>
          <w:sz w:val="32"/>
          <w:szCs w:val="32"/>
        </w:rPr>
      </w:pPr>
      <w:r>
        <w:rPr>
          <w:rFonts w:hint="eastAsia" w:ascii="仿宋_GB2312" w:eastAsia="仿宋_GB2312"/>
          <w:b/>
          <w:color w:val="000000"/>
          <w:sz w:val="32"/>
          <w:szCs w:val="32"/>
        </w:rPr>
        <w:t xml:space="preserve">第七条 </w:t>
      </w:r>
      <w:r>
        <w:rPr>
          <w:rFonts w:hint="eastAsia" w:ascii="仿宋_GB2312" w:eastAsia="仿宋_GB2312"/>
          <w:color w:val="000000"/>
          <w:sz w:val="32"/>
          <w:szCs w:val="32"/>
        </w:rPr>
        <w:t>专项资金原则上以三年为一周期，执行期限届满后不再纳入下一年度专项资金预算。专项资金需要延期的，应在执行期届满前一年编制年度预算草案时由红十字会重新提出申请设立。</w:t>
      </w:r>
    </w:p>
    <w:p>
      <w:pPr>
        <w:pStyle w:val="4"/>
        <w:shd w:val="clear" w:color="auto" w:fill="FFFFFF"/>
        <w:spacing w:before="0" w:beforeAutospacing="0" w:after="0" w:afterAutospacing="0"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专项资金在执行期限内，连续两年年度绩效达不到合格等级的，由财政部门直接向市政府提出取消该专项资金。</w:t>
      </w:r>
    </w:p>
    <w:p>
      <w:pPr>
        <w:pStyle w:val="4"/>
        <w:shd w:val="clear" w:color="auto" w:fill="FFFFFF"/>
        <w:spacing w:before="0" w:beforeAutospacing="0" w:after="0" w:afterAutospacing="0" w:line="560" w:lineRule="exact"/>
        <w:ind w:firstLine="630" w:firstLineChars="196"/>
        <w:rPr>
          <w:rFonts w:ascii="仿宋_GB2312" w:eastAsia="仿宋_GB2312"/>
          <w:color w:val="000000"/>
          <w:sz w:val="32"/>
          <w:szCs w:val="32"/>
        </w:rPr>
      </w:pPr>
      <w:r>
        <w:rPr>
          <w:rFonts w:hint="eastAsia" w:ascii="仿宋_GB2312" w:eastAsia="仿宋_GB2312"/>
          <w:b/>
          <w:color w:val="000000"/>
          <w:sz w:val="32"/>
          <w:szCs w:val="32"/>
        </w:rPr>
        <w:t>第八条</w:t>
      </w:r>
      <w:r>
        <w:rPr>
          <w:rFonts w:hint="eastAsia" w:ascii="仿宋_GB2312" w:eastAsia="仿宋_GB2312"/>
          <w:color w:val="000000"/>
          <w:sz w:val="32"/>
          <w:szCs w:val="32"/>
        </w:rPr>
        <w:t xml:space="preserve"> 红十字会要依照国家有关法律、法规的规定，严格按照管理办法中规定的范围使用资金，并接受财政、审计部门的工作指导和检查监督。</w:t>
      </w:r>
    </w:p>
    <w:p>
      <w:pPr>
        <w:pStyle w:val="4"/>
        <w:shd w:val="clear" w:color="auto" w:fill="FFFFFF"/>
        <w:spacing w:before="0" w:beforeAutospacing="0" w:after="0" w:afterAutospacing="0" w:line="560" w:lineRule="exact"/>
        <w:ind w:firstLine="643" w:firstLineChars="200"/>
        <w:rPr>
          <w:rFonts w:ascii="仿宋_GB2312" w:eastAsia="仿宋_GB2312"/>
          <w:color w:val="000000"/>
          <w:sz w:val="32"/>
          <w:szCs w:val="32"/>
        </w:rPr>
      </w:pPr>
      <w:r>
        <w:rPr>
          <w:rFonts w:hint="eastAsia" w:ascii="仿宋_GB2312" w:eastAsia="仿宋_GB2312"/>
          <w:b/>
          <w:color w:val="000000"/>
          <w:sz w:val="32"/>
          <w:szCs w:val="32"/>
        </w:rPr>
        <w:t>第九条</w:t>
      </w:r>
      <w:r>
        <w:rPr>
          <w:rFonts w:hint="eastAsia" w:ascii="仿宋_GB2312" w:eastAsia="仿宋_GB2312"/>
          <w:color w:val="000000"/>
          <w:sz w:val="32"/>
          <w:szCs w:val="32"/>
        </w:rPr>
        <w:t xml:space="preserve"> 本办法由市财政局、市红十字会负责解释。</w:t>
      </w:r>
    </w:p>
    <w:p>
      <w:pPr>
        <w:pStyle w:val="4"/>
        <w:shd w:val="clear" w:color="auto" w:fill="FFFFFF"/>
        <w:spacing w:before="0" w:beforeAutospacing="0" w:after="0" w:afterAutospacing="0" w:line="560" w:lineRule="exact"/>
        <w:ind w:firstLine="630" w:firstLineChars="196"/>
        <w:rPr>
          <w:rFonts w:ascii="仿宋_GB2312" w:eastAsia="仿宋_GB2312"/>
          <w:color w:val="000000"/>
          <w:sz w:val="32"/>
          <w:szCs w:val="32"/>
        </w:rPr>
      </w:pPr>
      <w:r>
        <w:rPr>
          <w:rFonts w:hint="eastAsia" w:ascii="仿宋_GB2312" w:eastAsia="仿宋_GB2312"/>
          <w:b/>
          <w:color w:val="000000"/>
          <w:sz w:val="32"/>
          <w:szCs w:val="32"/>
        </w:rPr>
        <w:t>第十条</w:t>
      </w:r>
      <w:r>
        <w:rPr>
          <w:rFonts w:hint="eastAsia" w:ascii="仿宋_GB2312" w:eastAsia="仿宋_GB2312"/>
          <w:color w:val="000000"/>
          <w:sz w:val="32"/>
          <w:szCs w:val="32"/>
        </w:rPr>
        <w:t xml:space="preserve"> 本办法自印发之日起实施。</w:t>
      </w:r>
    </w:p>
    <w:p>
      <w:pPr>
        <w:pStyle w:val="4"/>
        <w:shd w:val="clear" w:color="auto" w:fill="FFFFFF"/>
        <w:spacing w:before="0" w:beforeAutospacing="0" w:after="0" w:afterAutospacing="0" w:line="560" w:lineRule="exact"/>
        <w:ind w:firstLine="645"/>
        <w:rPr>
          <w:rFonts w:ascii="仿宋_GB2312" w:eastAsia="仿宋_GB2312"/>
          <w:color w:val="000000"/>
          <w:sz w:val="32"/>
          <w:szCs w:val="32"/>
        </w:rPr>
      </w:pPr>
    </w:p>
    <w:p>
      <w:pPr>
        <w:widowControl/>
        <w:spacing w:line="560" w:lineRule="exact"/>
        <w:jc w:val="left"/>
        <w:rPr>
          <w:rFonts w:ascii="仿宋_GB2312" w:hAnsi="微软雅黑" w:eastAsia="仿宋_GB2312" w:cs="宋体"/>
          <w:color w:val="454545"/>
          <w:kern w:val="0"/>
          <w:sz w:val="32"/>
          <w:szCs w:val="32"/>
        </w:rPr>
      </w:pPr>
    </w:p>
    <w:p>
      <w:pPr>
        <w:widowControl/>
        <w:spacing w:line="560" w:lineRule="exact"/>
        <w:jc w:val="left"/>
        <w:rPr>
          <w:rFonts w:ascii="仿宋_GB2312" w:hAnsi="微软雅黑" w:eastAsia="仿宋_GB2312" w:cs="宋体"/>
          <w:color w:val="454545"/>
          <w:kern w:val="0"/>
          <w:sz w:val="32"/>
          <w:szCs w:val="32"/>
        </w:rPr>
      </w:pPr>
    </w:p>
    <w:p>
      <w:pPr>
        <w:widowControl/>
        <w:spacing w:line="560" w:lineRule="exact"/>
        <w:jc w:val="left"/>
        <w:rPr>
          <w:rFonts w:ascii="仿宋_GB2312" w:hAnsi="微软雅黑" w:eastAsia="仿宋_GB2312" w:cs="宋体"/>
          <w:color w:val="454545"/>
          <w:kern w:val="0"/>
          <w:sz w:val="32"/>
          <w:szCs w:val="32"/>
        </w:rPr>
      </w:pPr>
    </w:p>
    <w:p>
      <w:pPr>
        <w:widowControl/>
        <w:spacing w:line="560" w:lineRule="exact"/>
        <w:jc w:val="left"/>
        <w:rPr>
          <w:rFonts w:ascii="仿宋_GB2312" w:hAnsi="微软雅黑" w:eastAsia="仿宋_GB2312" w:cs="宋体"/>
          <w:color w:val="454545"/>
          <w:kern w:val="0"/>
          <w:sz w:val="32"/>
          <w:szCs w:val="32"/>
        </w:rPr>
      </w:pPr>
    </w:p>
    <w:p>
      <w:pPr>
        <w:widowControl/>
        <w:spacing w:line="560" w:lineRule="exact"/>
        <w:jc w:val="left"/>
        <w:rPr>
          <w:rFonts w:ascii="仿宋_GB2312" w:hAnsi="微软雅黑" w:eastAsia="仿宋_GB2312" w:cs="宋体"/>
          <w:color w:val="454545"/>
          <w:kern w:val="0"/>
          <w:sz w:val="32"/>
          <w:szCs w:val="32"/>
        </w:rPr>
      </w:pPr>
    </w:p>
    <w:p>
      <w:pPr>
        <w:widowControl/>
        <w:spacing w:line="560" w:lineRule="exact"/>
        <w:jc w:val="left"/>
        <w:rPr>
          <w:rFonts w:ascii="仿宋_GB2312" w:hAnsi="微软雅黑" w:eastAsia="仿宋_GB2312" w:cs="宋体"/>
          <w:color w:val="454545"/>
          <w:kern w:val="0"/>
          <w:sz w:val="32"/>
          <w:szCs w:val="32"/>
        </w:rPr>
      </w:pPr>
    </w:p>
    <w:p>
      <w:pPr>
        <w:widowControl/>
        <w:spacing w:line="560" w:lineRule="exact"/>
        <w:jc w:val="left"/>
        <w:rPr>
          <w:rFonts w:ascii="仿宋_GB2312" w:hAnsi="微软雅黑" w:eastAsia="仿宋_GB2312" w:cs="宋体"/>
          <w:color w:val="454545"/>
          <w:kern w:val="0"/>
          <w:sz w:val="32"/>
          <w:szCs w:val="32"/>
        </w:rPr>
      </w:pPr>
    </w:p>
    <w:p>
      <w:pPr>
        <w:widowControl/>
        <w:spacing w:line="560" w:lineRule="exact"/>
        <w:jc w:val="left"/>
        <w:rPr>
          <w:rFonts w:ascii="仿宋_GB2312" w:hAnsi="微软雅黑" w:eastAsia="仿宋_GB2312" w:cs="宋体"/>
          <w:color w:val="454545"/>
          <w:kern w:val="0"/>
          <w:sz w:val="32"/>
          <w:szCs w:val="32"/>
        </w:rPr>
      </w:pPr>
    </w:p>
    <w:p>
      <w:pPr>
        <w:widowControl/>
        <w:spacing w:line="560" w:lineRule="exact"/>
        <w:jc w:val="left"/>
        <w:rPr>
          <w:rFonts w:ascii="仿宋_GB2312" w:hAnsi="微软雅黑" w:eastAsia="仿宋_GB2312" w:cs="宋体"/>
          <w:color w:val="454545"/>
          <w:kern w:val="0"/>
          <w:sz w:val="32"/>
          <w:szCs w:val="32"/>
        </w:rPr>
      </w:pPr>
    </w:p>
    <w:p>
      <w:pPr>
        <w:widowControl/>
        <w:spacing w:line="560" w:lineRule="exact"/>
        <w:jc w:val="left"/>
        <w:rPr>
          <w:rFonts w:ascii="仿宋_GB2312" w:hAnsi="微软雅黑" w:eastAsia="仿宋_GB2312" w:cs="宋体"/>
          <w:color w:val="454545"/>
          <w:kern w:val="0"/>
          <w:sz w:val="32"/>
          <w:szCs w:val="32"/>
        </w:rPr>
      </w:pPr>
    </w:p>
    <w:p>
      <w:pPr>
        <w:widowControl/>
        <w:spacing w:line="560" w:lineRule="exact"/>
        <w:jc w:val="left"/>
        <w:rPr>
          <w:rFonts w:ascii="仿宋_GB2312" w:hAnsi="微软雅黑" w:eastAsia="仿宋_GB2312" w:cs="宋体"/>
          <w:color w:val="454545"/>
          <w:kern w:val="0"/>
          <w:sz w:val="32"/>
          <w:szCs w:val="32"/>
        </w:rPr>
      </w:pPr>
    </w:p>
    <w:p>
      <w:pPr>
        <w:widowControl/>
        <w:spacing w:line="560" w:lineRule="exact"/>
        <w:jc w:val="left"/>
        <w:rPr>
          <w:rFonts w:ascii="仿宋_GB2312" w:hAnsi="微软雅黑" w:eastAsia="仿宋_GB2312" w:cs="宋体"/>
          <w:color w:val="454545"/>
          <w:kern w:val="0"/>
          <w:sz w:val="32"/>
          <w:szCs w:val="32"/>
        </w:rPr>
      </w:pPr>
    </w:p>
    <w:p>
      <w:pPr>
        <w:widowControl/>
        <w:spacing w:line="560" w:lineRule="exact"/>
        <w:jc w:val="left"/>
        <w:rPr>
          <w:rFonts w:ascii="仿宋_GB2312" w:hAnsi="微软雅黑" w:eastAsia="仿宋_GB2312" w:cs="宋体"/>
          <w:color w:val="454545"/>
          <w:kern w:val="0"/>
          <w:sz w:val="32"/>
          <w:szCs w:val="32"/>
        </w:rPr>
      </w:pPr>
    </w:p>
    <w:p>
      <w:pPr>
        <w:widowControl/>
        <w:spacing w:line="560" w:lineRule="exact"/>
        <w:jc w:val="left"/>
        <w:rPr>
          <w:rFonts w:ascii="仿宋_GB2312" w:hAnsi="微软雅黑" w:eastAsia="仿宋_GB2312" w:cs="宋体"/>
          <w:color w:val="454545"/>
          <w:kern w:val="0"/>
          <w:sz w:val="32"/>
          <w:szCs w:val="32"/>
        </w:rPr>
      </w:pPr>
    </w:p>
    <w:p>
      <w:pPr>
        <w:widowControl/>
        <w:spacing w:line="560" w:lineRule="exact"/>
        <w:jc w:val="left"/>
        <w:rPr>
          <w:rFonts w:ascii="仿宋_GB2312" w:hAnsi="微软雅黑" w:eastAsia="仿宋_GB2312" w:cs="宋体"/>
          <w:color w:val="454545"/>
          <w:kern w:val="0"/>
          <w:sz w:val="32"/>
          <w:szCs w:val="32"/>
        </w:rPr>
      </w:pPr>
    </w:p>
    <w:p>
      <w:pPr>
        <w:widowControl/>
        <w:spacing w:line="560" w:lineRule="exact"/>
        <w:jc w:val="left"/>
        <w:rPr>
          <w:rFonts w:ascii="仿宋_GB2312" w:hAnsi="微软雅黑" w:eastAsia="仿宋_GB2312" w:cs="宋体"/>
          <w:color w:val="454545"/>
          <w:kern w:val="0"/>
          <w:sz w:val="32"/>
          <w:szCs w:val="32"/>
        </w:rPr>
      </w:pPr>
    </w:p>
    <w:p>
      <w:pPr>
        <w:widowControl/>
        <w:spacing w:line="560" w:lineRule="exact"/>
        <w:jc w:val="left"/>
        <w:rPr>
          <w:rFonts w:ascii="仿宋_GB2312" w:hAnsi="微软雅黑" w:eastAsia="仿宋_GB2312" w:cs="宋体"/>
          <w:color w:val="454545"/>
          <w:kern w:val="0"/>
          <w:sz w:val="32"/>
          <w:szCs w:val="32"/>
        </w:rPr>
      </w:pPr>
    </w:p>
    <w:p>
      <w:pPr>
        <w:widowControl/>
        <w:spacing w:line="560" w:lineRule="exact"/>
        <w:jc w:val="left"/>
        <w:rPr>
          <w:rFonts w:ascii="仿宋_GB2312" w:hAnsi="微软雅黑" w:eastAsia="仿宋_GB2312" w:cs="宋体"/>
          <w:color w:val="454545"/>
          <w:kern w:val="0"/>
          <w:sz w:val="32"/>
          <w:szCs w:val="32"/>
        </w:rPr>
      </w:pPr>
    </w:p>
    <w:p>
      <w:pPr>
        <w:widowControl/>
        <w:spacing w:line="560" w:lineRule="exact"/>
        <w:jc w:val="left"/>
        <w:rPr>
          <w:rFonts w:ascii="仿宋_GB2312" w:hAnsi="微软雅黑" w:eastAsia="仿宋_GB2312" w:cs="宋体"/>
          <w:color w:val="454545"/>
          <w:kern w:val="0"/>
          <w:sz w:val="32"/>
          <w:szCs w:val="32"/>
        </w:rPr>
      </w:pPr>
      <w:r>
        <w:rPr>
          <w:rFonts w:hint="eastAsia" w:ascii="仿宋_GB2312" w:hAnsi="微软雅黑" w:eastAsia="仿宋_GB2312" w:cs="宋体"/>
          <w:color w:val="454545"/>
          <w:kern w:val="0"/>
          <w:sz w:val="32"/>
          <w:szCs w:val="32"/>
        </w:rPr>
        <w:t>附件4</w:t>
      </w:r>
    </w:p>
    <w:p>
      <w:pPr>
        <w:spacing w:line="540" w:lineRule="exact"/>
        <w:jc w:val="center"/>
        <w:rPr>
          <w:rFonts w:ascii="宋体" w:hAnsi="宋体"/>
          <w:sz w:val="44"/>
          <w:szCs w:val="44"/>
        </w:rPr>
      </w:pPr>
    </w:p>
    <w:p>
      <w:pPr>
        <w:spacing w:line="540" w:lineRule="exact"/>
        <w:jc w:val="center"/>
        <w:rPr>
          <w:rFonts w:ascii="宋体" w:hAnsi="宋体"/>
          <w:sz w:val="44"/>
          <w:szCs w:val="44"/>
        </w:rPr>
      </w:pPr>
      <w:r>
        <w:rPr>
          <w:rFonts w:hint="eastAsia" w:ascii="宋体" w:hAnsi="宋体"/>
          <w:sz w:val="44"/>
          <w:szCs w:val="44"/>
        </w:rPr>
        <w:t>中共温州市委  温州市人民政府</w:t>
      </w:r>
    </w:p>
    <w:p>
      <w:pPr>
        <w:spacing w:line="540" w:lineRule="exact"/>
        <w:ind w:firstLine="1320" w:firstLineChars="300"/>
        <w:rPr>
          <w:rFonts w:ascii="宋体" w:hAnsi="宋体"/>
          <w:sz w:val="44"/>
          <w:szCs w:val="44"/>
        </w:rPr>
      </w:pPr>
      <w:r>
        <w:rPr>
          <w:rFonts w:hint="eastAsia" w:ascii="宋体" w:hAnsi="宋体"/>
          <w:sz w:val="44"/>
          <w:szCs w:val="44"/>
        </w:rPr>
        <w:t>关于推进红十字事业发展的意见</w:t>
      </w:r>
    </w:p>
    <w:p>
      <w:pPr>
        <w:spacing w:line="408" w:lineRule="atLeast"/>
        <w:jc w:val="center"/>
        <w:rPr>
          <w:rFonts w:eastAsia="仿宋_GB2312"/>
          <w:sz w:val="32"/>
          <w:szCs w:val="32"/>
        </w:rPr>
      </w:pPr>
    </w:p>
    <w:p>
      <w:pPr>
        <w:spacing w:line="408" w:lineRule="atLeast"/>
        <w:jc w:val="center"/>
        <w:rPr>
          <w:sz w:val="32"/>
          <w:szCs w:val="32"/>
        </w:rPr>
      </w:pPr>
      <w:r>
        <w:rPr>
          <w:rFonts w:eastAsia="仿宋_GB2312"/>
          <w:sz w:val="32"/>
          <w:szCs w:val="32"/>
        </w:rPr>
        <w:t>温委</w:t>
      </w:r>
      <w:r>
        <w:rPr>
          <w:rFonts w:hint="eastAsia" w:eastAsia="仿宋_GB2312"/>
          <w:sz w:val="32"/>
          <w:szCs w:val="32"/>
        </w:rPr>
        <w:t>发</w:t>
      </w:r>
      <w:r>
        <w:rPr>
          <w:rFonts w:eastAsia="仿宋_GB2312"/>
          <w:sz w:val="32"/>
          <w:szCs w:val="32"/>
        </w:rPr>
        <w:t>〔20</w:t>
      </w:r>
      <w:r>
        <w:rPr>
          <w:rFonts w:hint="eastAsia" w:eastAsia="仿宋_GB2312"/>
          <w:sz w:val="32"/>
          <w:szCs w:val="32"/>
        </w:rPr>
        <w:t>13</w:t>
      </w:r>
      <w:r>
        <w:rPr>
          <w:rFonts w:eastAsia="仿宋_GB2312"/>
          <w:sz w:val="32"/>
          <w:szCs w:val="32"/>
        </w:rPr>
        <w:t>〕</w:t>
      </w:r>
      <w:r>
        <w:rPr>
          <w:rFonts w:hint="eastAsia" w:eastAsia="仿宋_GB2312"/>
          <w:sz w:val="32"/>
          <w:szCs w:val="32"/>
        </w:rPr>
        <w:t>62</w:t>
      </w:r>
      <w:r>
        <w:rPr>
          <w:rFonts w:eastAsia="仿宋_GB2312"/>
          <w:sz w:val="32"/>
          <w:szCs w:val="32"/>
        </w:rPr>
        <w:t>号</w:t>
      </w:r>
    </w:p>
    <w:p>
      <w:pPr>
        <w:spacing w:line="540" w:lineRule="exact"/>
        <w:ind w:firstLine="1320" w:firstLineChars="300"/>
        <w:rPr>
          <w:rFonts w:ascii="宋体" w:hAnsi="宋体"/>
          <w:sz w:val="44"/>
          <w:szCs w:val="44"/>
        </w:rPr>
      </w:pPr>
    </w:p>
    <w:p/>
    <w:p>
      <w:pPr>
        <w:spacing w:line="560" w:lineRule="exact"/>
        <w:rPr>
          <w:rFonts w:ascii="仿宋_GB2312" w:eastAsia="仿宋_GB2312"/>
          <w:sz w:val="32"/>
          <w:szCs w:val="32"/>
        </w:rPr>
      </w:pPr>
      <w:r>
        <w:rPr>
          <w:rFonts w:hint="eastAsia" w:ascii="仿宋_GB2312" w:eastAsia="仿宋_GB2312"/>
          <w:sz w:val="32"/>
          <w:szCs w:val="32"/>
        </w:rPr>
        <w:t>各县（市、区）委、人民政府，市直属各单位：</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红十字事业是一项造福人类的崇高事业，是中国特色社会主义事业的重要组成部分。根据《国务院关于促进红十字事业发展的意见》（国发〔2012〕25号）、《中共浙江省委 浙江省人民政府关于加快发展红十字事业的意见》（浙委〔2012〕122号）和市第十一次党代会精神，为推进我市红十字事业加快发展，特提出以下意见。</w:t>
      </w:r>
    </w:p>
    <w:p>
      <w:pPr>
        <w:spacing w:line="560" w:lineRule="exact"/>
        <w:ind w:firstLine="640" w:firstLineChars="200"/>
        <w:rPr>
          <w:rFonts w:ascii="黑体" w:eastAsia="黑体"/>
          <w:sz w:val="32"/>
          <w:szCs w:val="32"/>
        </w:rPr>
      </w:pPr>
      <w:r>
        <w:rPr>
          <w:rFonts w:hint="eastAsia" w:ascii="黑体" w:eastAsia="黑体"/>
          <w:sz w:val="32"/>
          <w:szCs w:val="32"/>
        </w:rPr>
        <w:t>一、充分认识推进红十字事业发展的重要意义</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近几年来，我市认真贯彻落实《中华人民共和国红十字会</w:t>
      </w:r>
    </w:p>
    <w:p>
      <w:pPr>
        <w:spacing w:line="560" w:lineRule="exact"/>
        <w:rPr>
          <w:rFonts w:ascii="仿宋_GB2312" w:eastAsia="仿宋_GB2312"/>
          <w:sz w:val="32"/>
          <w:szCs w:val="32"/>
        </w:rPr>
      </w:pPr>
      <w:r>
        <w:rPr>
          <w:rFonts w:hint="eastAsia" w:ascii="仿宋_GB2312" w:eastAsia="仿宋_GB2312"/>
          <w:sz w:val="32"/>
          <w:szCs w:val="32"/>
        </w:rPr>
        <w:t>法》，积极推进红十字事业发展，取得了明显进步。全市各级红十字会依法履行职责，主动服务经济社会发展大局，广泛动员各方力量，在参与重大自然灾害和突发事件应急救援、实施人道救助、普及应急救护知识、开展无偿献血宣传、造血干细胞和人体器官（组织）捐献，推动红十字青少年、志愿服务、民间交流等方面发挥了积极作用，成为党和政府在人道工作领域的得力助手。</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当前，我市正处在经济社会转型发展的重要时期，实现经济持续健康较快发展和社会和谐稳定的任务十分繁重。红十字会是营造社会文明风尚、推动社会管理创新、加快和谐社会建设的重要力量。推进红十字事业发展，有利于改善最易受损群体境况、建设爱心城市，有利于促进社会主义核心价值体系建设、建设文明城市，有利于化解社会矛盾、建设和谐温州，有利于服务经济社会发展、建设幸福温州。各级各部门要充分认识红十字会工作的重要作用，支持红十字组织开展工作，广泛动员社会力量参与，努力形成上下齐心协力、共同推进红十字事业发展的合力。</w:t>
      </w:r>
    </w:p>
    <w:p>
      <w:pPr>
        <w:spacing w:line="560" w:lineRule="exact"/>
        <w:ind w:firstLine="640" w:firstLineChars="200"/>
        <w:rPr>
          <w:rFonts w:ascii="黑体" w:eastAsia="黑体"/>
          <w:sz w:val="32"/>
          <w:szCs w:val="32"/>
        </w:rPr>
      </w:pPr>
      <w:r>
        <w:rPr>
          <w:rFonts w:hint="eastAsia" w:ascii="黑体" w:eastAsia="黑体"/>
          <w:sz w:val="32"/>
          <w:szCs w:val="32"/>
        </w:rPr>
        <w:t>二、大力支持红十字会依法履行职责</w:t>
      </w:r>
    </w:p>
    <w:p>
      <w:pPr>
        <w:spacing w:line="560" w:lineRule="exact"/>
        <w:ind w:firstLine="640" w:firstLineChars="200"/>
        <w:rPr>
          <w:rFonts w:ascii="仿宋_GB2312" w:eastAsia="仿宋_GB2312"/>
          <w:sz w:val="32"/>
          <w:szCs w:val="32"/>
        </w:rPr>
      </w:pPr>
      <w:r>
        <w:rPr>
          <w:rFonts w:hint="eastAsia" w:ascii="楷体_GB2312" w:eastAsia="楷体_GB2312"/>
          <w:sz w:val="32"/>
          <w:szCs w:val="32"/>
        </w:rPr>
        <w:t>（一）着力构建红十字应急救援体系。</w:t>
      </w:r>
      <w:r>
        <w:rPr>
          <w:rFonts w:hint="eastAsia" w:ascii="仿宋_GB2312" w:eastAsia="仿宋_GB2312"/>
          <w:sz w:val="32"/>
          <w:szCs w:val="32"/>
        </w:rPr>
        <w:t>各级党委、政府要重视发挥红十字应急救援的重要作用。市政府应急办要主动协调，将红十字会应急救援工作纳入政府灾害应急响应体系，组织红十字会参与重大自然灾害和突发事件的应急预案演练、基础培训教育和应急救援等工作；将红十字志愿者队伍纳入应急救援联动机制，发挥其在应急救护、心理干预、山地救援等方面的作用。有条件的县（市、区）要积极筹建备灾救灾中心或应急救援中心，以较高标准推进红十字物资库等备灾救灾设施的规范化建设。根据我市灾害发生的特点和防治经验，组织建设有特色的社会化救援队伍，积极参与各类抢险救援工作。公安、交通运输、海关、工商、出入境检验检疫等部门，依法保证为使用红十字标志并执行应急救援任务的红十字人员、物资和交通工具提供便捷通道，保证优先承运、通行、通关、检验检疫，并依法减免相关费用；红十字会用于人道主义救灾救助的车辆，可按市交通、物价等部门的规定免缴路、桥通行费（含高速公路）。</w:t>
      </w:r>
    </w:p>
    <w:p>
      <w:pPr>
        <w:spacing w:line="560" w:lineRule="exact"/>
        <w:ind w:firstLine="640" w:firstLineChars="200"/>
        <w:rPr>
          <w:rFonts w:ascii="仿宋_GB2312" w:eastAsia="仿宋_GB2312"/>
          <w:sz w:val="32"/>
          <w:szCs w:val="32"/>
        </w:rPr>
      </w:pPr>
      <w:r>
        <w:rPr>
          <w:rFonts w:hint="eastAsia" w:ascii="楷体_GB2312" w:eastAsia="楷体_GB2312"/>
          <w:sz w:val="32"/>
          <w:szCs w:val="32"/>
        </w:rPr>
        <w:t>（二）着力构建红十字社会化救护培训体系。</w:t>
      </w:r>
      <w:r>
        <w:rPr>
          <w:rFonts w:hint="eastAsia" w:ascii="仿宋_GB2312" w:eastAsia="仿宋_GB2312"/>
          <w:sz w:val="32"/>
          <w:szCs w:val="32"/>
        </w:rPr>
        <w:t>各县（市、区）政府要将红十字应急救护培训列入民生实事项目，落实领导、机制、场地和经费保障。整合有关部门的资源，支持红十字会加强师资队伍建设，深入开展应急救护培训进社区、进农村、进企事业、进学校、进机关的“五进”活动。依托“五型机关”建设，将红十字救护知识列为党员干部和广大群众的学习内容。卫生、教育、公安、交通运输、安监、旅游、电力、石化、建筑、矿山等部门和行业，要认真履行各自职责，支持和配合红十字会，依法对相关从业人员开展救护培训，特别是对一些人员密集场所和政府重点建设工程的相关人员要加大培训力度；在公安、交通运输、安监、电力、旅游等重点、高危行业必须建立培训基地。创新成立民办非企救护培训中心。到2017年，确保高危行业红十字救护员占从业人员比例达到18%以上，救护知识普及率达到95%以上，全市注册红十字救护员占户籍人口比例达到1.3%以上，救护知识普及人数占户籍人口比例达到5%以上。</w:t>
      </w:r>
    </w:p>
    <w:p>
      <w:pPr>
        <w:spacing w:line="560" w:lineRule="exact"/>
        <w:ind w:firstLine="640" w:firstLineChars="200"/>
        <w:rPr>
          <w:rFonts w:ascii="仿宋_GB2312" w:eastAsia="仿宋_GB2312"/>
          <w:sz w:val="32"/>
          <w:szCs w:val="32"/>
        </w:rPr>
      </w:pPr>
      <w:r>
        <w:rPr>
          <w:rFonts w:hint="eastAsia" w:ascii="楷体_GB2312" w:eastAsia="楷体_GB2312"/>
          <w:sz w:val="32"/>
          <w:szCs w:val="32"/>
        </w:rPr>
        <w:t>（三）着力构建红十字长效筹资救助体系。</w:t>
      </w:r>
      <w:r>
        <w:rPr>
          <w:rFonts w:hint="eastAsia" w:ascii="仿宋_GB2312" w:eastAsia="仿宋_GB2312"/>
          <w:sz w:val="32"/>
          <w:szCs w:val="32"/>
        </w:rPr>
        <w:t>建立“项目化、品牌化、市场化”相结合的长效筹资机制，推广“博爱慈善一日捐”活动，探索实施具有红十字会特色的筹资活动。各级政府要根据当地财力，结合红十字事业发展需要，建立人道救助专项资金，列入财政预算安排；要根据群众急需、社会关注，支持红十字组织打造“情暖温州·红十字博爱公益项目”品牌，开展“红十字助医助老助孤助残助学”、“红十字博爱送万家”等救助帮困活动。要围绕群众生计发展计划，完善并推广基层红十字博爱救助金运作模式，推广“博爱家园”项目；设立专项资金匹配上级红十字组织在当地建设的“博爱家园”等公益项目。有条件的地方要支持红十字组织独立或参与兴办医疗、养老、康复、护理等与其宗旨相符的社会公益事业，并给予土地、场所、经费、政策等相关扶持。</w:t>
      </w:r>
    </w:p>
    <w:p>
      <w:pPr>
        <w:spacing w:line="560" w:lineRule="exact"/>
        <w:ind w:firstLine="640" w:firstLineChars="200"/>
        <w:rPr>
          <w:rFonts w:ascii="仿宋_GB2312" w:eastAsia="仿宋_GB2312"/>
          <w:sz w:val="32"/>
          <w:szCs w:val="32"/>
        </w:rPr>
      </w:pPr>
      <w:r>
        <w:rPr>
          <w:rFonts w:hint="eastAsia" w:ascii="楷体_GB2312" w:eastAsia="楷体_GB2312"/>
          <w:sz w:val="32"/>
          <w:szCs w:val="32"/>
        </w:rPr>
        <w:t>（四）着力构建红十字生命关爱体系。</w:t>
      </w:r>
      <w:r>
        <w:rPr>
          <w:rFonts w:hint="eastAsia" w:ascii="仿宋_GB2312" w:eastAsia="仿宋_GB2312"/>
          <w:sz w:val="32"/>
          <w:szCs w:val="32"/>
        </w:rPr>
        <w:t>建立由市政府牵头，红十字会、卫生、公安、民政、财政等部门参与的联动工作机制，共同推动生命关爱行动的深入开展。在二级甲等以上医疗机构建立人体器官捐献工作信息联络员队伍，相关部门要为人体器官（组织）捐献提供必要的经费和后勤服务等保障。制定捐献者困难家庭人道救助、造血干细胞捐献者和其直系亲属优惠用血、人体器官捐献者缅怀纪念等社会保障、激励和褒奖政策。市文明办要倡导各级文明单位员工参与无偿献血、造血干细胞捐献、人体器官（组织）捐献等生命关爱工作。力争全市每年造血干细胞捐献采样入库率不低于总人口数的0.01%，人体器官（组织）捐献认同率达到50%以上。</w:t>
      </w:r>
    </w:p>
    <w:p>
      <w:pPr>
        <w:spacing w:line="560" w:lineRule="exact"/>
        <w:ind w:firstLine="640" w:firstLineChars="200"/>
        <w:rPr>
          <w:rFonts w:ascii="仿宋_GB2312" w:eastAsia="仿宋_GB2312"/>
          <w:sz w:val="32"/>
          <w:szCs w:val="32"/>
        </w:rPr>
      </w:pPr>
      <w:r>
        <w:rPr>
          <w:rFonts w:hint="eastAsia" w:ascii="楷体_GB2312" w:eastAsia="楷体_GB2312"/>
          <w:sz w:val="32"/>
          <w:szCs w:val="32"/>
        </w:rPr>
        <w:t>（五）着力推动红十字青少年工作。</w:t>
      </w:r>
      <w:r>
        <w:rPr>
          <w:rFonts w:hint="eastAsia" w:ascii="仿宋_GB2312" w:eastAsia="仿宋_GB2312"/>
          <w:sz w:val="32"/>
          <w:szCs w:val="32"/>
        </w:rPr>
        <w:t>各级各有关部门要将红十字青少年工作纳入未成年人思想道德建设和大学生思想政治教育整体规划。在温高校要建立红十字会，推进高校人道传播和大学生思想道德教育，组建大学生红十字志愿服务队开展假期实践活动。到2015年，全市中小学校基本建立红十字会组织，鼓励各类学校争创各级红十字示范学校。文明办、红十字会和教育部门要加强联合，积极开展“日行一善”道德实践活动，促进红十字青少年工作与学校德育教育、素质教育、健康教育相结合，将应急救护和防灾避险知识列为九年制义务教育学校学生学习内容。</w:t>
      </w:r>
    </w:p>
    <w:p>
      <w:pPr>
        <w:spacing w:line="560" w:lineRule="exact"/>
        <w:ind w:firstLine="640" w:firstLineChars="200"/>
        <w:rPr>
          <w:rFonts w:ascii="仿宋_GB2312" w:eastAsia="仿宋_GB2312"/>
          <w:sz w:val="32"/>
          <w:szCs w:val="32"/>
        </w:rPr>
      </w:pPr>
      <w:r>
        <w:rPr>
          <w:rFonts w:hint="eastAsia" w:ascii="楷体_GB2312" w:eastAsia="楷体_GB2312"/>
          <w:sz w:val="32"/>
          <w:szCs w:val="32"/>
        </w:rPr>
        <w:t>（六）着力构建红十字传播交流体系</w:t>
      </w:r>
      <w:r>
        <w:rPr>
          <w:rFonts w:hint="eastAsia" w:ascii="仿宋_GB2312" w:eastAsia="仿宋_GB2312"/>
          <w:sz w:val="32"/>
          <w:szCs w:val="32"/>
        </w:rPr>
        <w:t>。各级党委宣传部门要将红十字精神传播纳入社会主义核心价值体系宣传教育的重要范畴，与宣传弘扬中华传统美德、当代浙江人共同价值观和温州新时期的创业创新精神紧密结合。各新闻单位要支持红十字会构筑大宣教格局，电视电台、报刊和网络等媒体要利用重要版面和时段，积极报道红十字会的工作经验，宣传红十字领域涌现出的好人好事，免费刊播红十字人道公益广告。将红十字相关法律法规纳入“六五”普法宣传教育的内容。各社科组织要支持开展红十字文化和理论研究研讨。规划、建设、行政执法等部门要支持红十字会开展人道传播和公益活动，每年开辟一定数量的公益广告平台和场所，免费供红十字会宣传和活动。各级网宣部门要支持红十字会开展网络舆情引导，在网上传播红十字文化。各级各部门要支持红十字会按照有关规定参与国际、国内各类人道援助和民间交流活动。</w:t>
      </w:r>
    </w:p>
    <w:p>
      <w:pPr>
        <w:spacing w:line="560" w:lineRule="exact"/>
        <w:ind w:firstLine="640" w:firstLineChars="200"/>
        <w:rPr>
          <w:rFonts w:ascii="黑体" w:eastAsia="黑体"/>
          <w:sz w:val="32"/>
          <w:szCs w:val="32"/>
        </w:rPr>
      </w:pPr>
      <w:r>
        <w:rPr>
          <w:rFonts w:hint="eastAsia" w:ascii="黑体" w:eastAsia="黑体"/>
          <w:sz w:val="32"/>
          <w:szCs w:val="32"/>
        </w:rPr>
        <w:t>三、重视加强红十字会组织队伍建设</w:t>
      </w:r>
    </w:p>
    <w:p>
      <w:pPr>
        <w:spacing w:line="560" w:lineRule="exact"/>
        <w:ind w:firstLine="640" w:firstLineChars="200"/>
        <w:rPr>
          <w:rFonts w:ascii="仿宋_GB2312" w:eastAsia="仿宋_GB2312"/>
          <w:sz w:val="32"/>
          <w:szCs w:val="32"/>
        </w:rPr>
      </w:pPr>
      <w:r>
        <w:rPr>
          <w:rFonts w:hint="eastAsia" w:ascii="楷体_GB2312" w:eastAsia="楷体_GB2312"/>
          <w:sz w:val="32"/>
          <w:szCs w:val="32"/>
        </w:rPr>
        <w:t>（一）着力加强红十字会组织建设。</w:t>
      </w:r>
      <w:r>
        <w:rPr>
          <w:rFonts w:hint="eastAsia" w:ascii="仿宋_GB2312" w:eastAsia="仿宋_GB2312"/>
          <w:sz w:val="32"/>
          <w:szCs w:val="32"/>
        </w:rPr>
        <w:t>各级党委、政府要高度重视红十字会组织建设，积极支持红十字会理顺管理体制，配齐配强队伍。各县（市、区）和温州经济技术开发区、温州生态园可根据自身条件建立红十字会，并积极争创省“红十字工作示范县”。乡镇（街道）可根据自身条件建立红十字会组织，支持红十字会在村（社区）、企事业单位、医疗机构和其他组织中建立红十字会基层组织。创新在“活力和谐”企业中建立红十字会组织。大力发展红十字个人会员和团体会员，发挥会员作用，履行会员权利和义务。</w:t>
      </w:r>
    </w:p>
    <w:p>
      <w:pPr>
        <w:spacing w:line="560" w:lineRule="exact"/>
        <w:ind w:firstLine="640" w:firstLineChars="200"/>
        <w:rPr>
          <w:rFonts w:ascii="仿宋_GB2312" w:eastAsia="仿宋_GB2312"/>
          <w:sz w:val="32"/>
          <w:szCs w:val="32"/>
        </w:rPr>
      </w:pPr>
      <w:r>
        <w:rPr>
          <w:rFonts w:hint="eastAsia" w:ascii="楷体_GB2312" w:eastAsia="楷体_GB2312"/>
          <w:sz w:val="32"/>
          <w:szCs w:val="32"/>
        </w:rPr>
        <w:t>（二）着力加强红十字会干部队伍建设。</w:t>
      </w:r>
      <w:r>
        <w:rPr>
          <w:rFonts w:hint="eastAsia" w:ascii="仿宋_GB2312" w:eastAsia="仿宋_GB2312"/>
          <w:sz w:val="32"/>
          <w:szCs w:val="32"/>
        </w:rPr>
        <w:t>选好配强红十字会领导班子和专职干部，下级红十字会主要专职负责人的任免提名要听取上级红十字会的意见。支持红十字会创新选人用人机制，通过择优选调、公开选拔、竞争上岗等多种形式充实红十字会管理人员队伍。加大红十字会干部的教育培训、轮岗交流、挂职锻炼和选拔任用等工作力度，重视对红十字会干部的培养工作。通过政府购买公益岗位、招聘项目工作人员等途径充实红十字会工作人员。加强红十字会干部队伍的职业道德教育和业务知识培训，不断提高职业化水平，增强综合协调和服务奉献能力。</w:t>
      </w:r>
    </w:p>
    <w:p>
      <w:pPr>
        <w:spacing w:line="560" w:lineRule="exact"/>
        <w:ind w:firstLine="640" w:firstLineChars="200"/>
        <w:rPr>
          <w:rFonts w:ascii="仿宋_GB2312" w:eastAsia="仿宋_GB2312"/>
          <w:sz w:val="32"/>
          <w:szCs w:val="32"/>
        </w:rPr>
      </w:pPr>
      <w:r>
        <w:rPr>
          <w:rFonts w:hint="eastAsia" w:ascii="楷体_GB2312" w:eastAsia="楷体_GB2312"/>
          <w:sz w:val="32"/>
          <w:szCs w:val="32"/>
        </w:rPr>
        <w:t>（三）着力加强红十字志愿者队伍建设。</w:t>
      </w:r>
      <w:r>
        <w:rPr>
          <w:rFonts w:hint="eastAsia" w:ascii="仿宋_GB2312" w:eastAsia="仿宋_GB2312"/>
          <w:sz w:val="32"/>
          <w:szCs w:val="32"/>
        </w:rPr>
        <w:t>要将红十字志愿服务工作纳入当地志愿服务工作整体规划和精神文明建设整体规划。支持红十字会在各级组织特别是医疗卫生和学校教育单位建立志愿服务队伍，加快形成按专业、分领域的红十字志愿服务队伍，切实发挥红十字志愿者在各类重大活动中的作用。积极推行志愿服务积分和评比制度，支持优秀的红十字志愿者参加各类先进评选，并为困难的红十字志愿者提供必要的救助。</w:t>
      </w:r>
    </w:p>
    <w:p>
      <w:pPr>
        <w:spacing w:line="560" w:lineRule="exact"/>
        <w:ind w:firstLine="640" w:firstLineChars="200"/>
        <w:rPr>
          <w:rFonts w:ascii="黑体" w:eastAsia="黑体"/>
          <w:sz w:val="32"/>
          <w:szCs w:val="32"/>
        </w:rPr>
      </w:pPr>
      <w:r>
        <w:rPr>
          <w:rFonts w:hint="eastAsia" w:ascii="黑体" w:eastAsia="黑体"/>
          <w:sz w:val="32"/>
          <w:szCs w:val="32"/>
        </w:rPr>
        <w:t>四、切实加强对红十字事业的领导</w:t>
      </w:r>
    </w:p>
    <w:p>
      <w:pPr>
        <w:spacing w:line="560" w:lineRule="exact"/>
        <w:ind w:firstLine="640" w:firstLineChars="200"/>
        <w:rPr>
          <w:rFonts w:ascii="仿宋_GB2312" w:eastAsia="仿宋_GB2312"/>
          <w:sz w:val="32"/>
          <w:szCs w:val="32"/>
        </w:rPr>
      </w:pPr>
      <w:r>
        <w:rPr>
          <w:rFonts w:hint="eastAsia" w:ascii="楷体_GB2312" w:eastAsia="楷体_GB2312"/>
          <w:sz w:val="32"/>
          <w:szCs w:val="32"/>
        </w:rPr>
        <w:t>（一）着力加强对红十字事业的领导。</w:t>
      </w:r>
      <w:r>
        <w:rPr>
          <w:rFonts w:hint="eastAsia" w:ascii="仿宋_GB2312" w:eastAsia="仿宋_GB2312"/>
          <w:sz w:val="32"/>
          <w:szCs w:val="32"/>
        </w:rPr>
        <w:t>各级党委、政府要将红十字会工作摆上重要议事日程，将红十字事业发展规划纳入当地经济社会发展总体规划和专项规划目录，将红十字会工作纳入对下一级政府年度目标责任制综合考核体系。县（市、区）委书记或县（市、区）长每年至少一次听取红十字会工作汇报；各县（市、区）委、政府要分别明确一名分管（联系）领导，建立红十字会组织的市级功能区要确定一名领导分管红十字会工作。建立红十字会组织的乡镇（街道）要明确一名红十字会专（兼）职秘书长。各县（市、区）委常委会和政府常务会议及时研究红十字事业发展的重要议题和迫切需要解决的难题。县级红十字会列入群众团体管理。加强红十字会党组织建设，有条件的县（市、区）红十字会要建立党组。积极安排红十字会负责人参加相关协调机构，列席党委、政府有关会议，推荐红十字会工作人员作为党代表、人大代表和政协委员建议人选。</w:t>
      </w:r>
    </w:p>
    <w:p>
      <w:pPr>
        <w:spacing w:line="560" w:lineRule="exact"/>
        <w:ind w:firstLine="640" w:firstLineChars="200"/>
        <w:rPr>
          <w:rFonts w:ascii="仿宋_GB2312" w:eastAsia="仿宋_GB2312"/>
          <w:sz w:val="32"/>
          <w:szCs w:val="32"/>
        </w:rPr>
      </w:pPr>
      <w:r>
        <w:rPr>
          <w:rFonts w:hint="eastAsia" w:ascii="楷体_GB2312" w:eastAsia="楷体_GB2312"/>
          <w:sz w:val="32"/>
          <w:szCs w:val="32"/>
        </w:rPr>
        <w:t>（二）着力完善红十字事业发展的政策。</w:t>
      </w:r>
      <w:r>
        <w:rPr>
          <w:rFonts w:hint="eastAsia" w:ascii="仿宋_GB2312" w:eastAsia="仿宋_GB2312"/>
          <w:sz w:val="32"/>
          <w:szCs w:val="32"/>
        </w:rPr>
        <w:t>各级政府要充分发挥公共财政主渠道作用，加大对红十字事业的财政投入，逐年按一定比例增长。建立政府购买服务制度，鼓励红十字会承接政府职能转移，提供相关公共服务。认真落实企业、个人等社会力量向红十字事业捐赠的所得税税前扣除政策。对红十字会募集和接受的捐赠款物，依法由红十字会独立管理和处置。红十字会使用捐赠款物开展人道救助所产生的实际成本，按照国家有关规定从捐赠资金中据实列支，向社会公开。财政、人民银行要支持红十字会设立社会捐赠资金专户，依法实行自主管理。红十字会财政拨款资金和社会捐赠资金分别执行行政事业单位会计制度和民间非营利组织会计制度。授权市红十字会作为市级相关红十字社会团体的业务主管单位。</w:t>
      </w:r>
    </w:p>
    <w:p>
      <w:pPr>
        <w:spacing w:line="560" w:lineRule="exact"/>
        <w:ind w:firstLine="640" w:firstLineChars="200"/>
        <w:rPr>
          <w:rFonts w:ascii="仿宋_GB2312" w:eastAsia="仿宋_GB2312"/>
          <w:sz w:val="32"/>
          <w:szCs w:val="32"/>
        </w:rPr>
      </w:pPr>
      <w:r>
        <w:rPr>
          <w:rFonts w:hint="eastAsia" w:ascii="楷体_GB2312" w:eastAsia="楷体_GB2312"/>
          <w:sz w:val="32"/>
          <w:szCs w:val="32"/>
        </w:rPr>
        <w:t>（三）着力健全红十字会监督管理体系。</w:t>
      </w:r>
      <w:r>
        <w:rPr>
          <w:rFonts w:hint="eastAsia" w:ascii="仿宋_GB2312" w:eastAsia="仿宋_GB2312"/>
          <w:sz w:val="32"/>
          <w:szCs w:val="32"/>
        </w:rPr>
        <w:t>各级政府要将红十字会信息化建设纳入当地信息化及电子政务系统建设总体规划，支持红十字会建设信息查询平台。要按照规定严格执行信息公开制度，做到资金募集、财务管理、招标采购、分配使用等捐赠信息公开透明。建立红十字会社会监督委员会，完善法律监督、政府监督、社会监督、自我监督相结合的综合性监督体系。财政、审计等部门要加强对社会捐赠资金收支的指导、监督和审计。各级红十字会要建立新闻发布制度，认真回应社会关切的热点问题。建立绩效考评和问责机制，不断提升红十字会的公信力。</w:t>
      </w:r>
    </w:p>
    <w:p>
      <w:pPr>
        <w:spacing w:line="560" w:lineRule="exact"/>
        <w:ind w:firstLine="640" w:firstLineChars="200"/>
        <w:rPr>
          <w:rFonts w:ascii="仿宋_GB2312" w:hAnsi="微软雅黑" w:eastAsia="仿宋_GB2312" w:cs="宋体"/>
          <w:color w:val="454545"/>
          <w:kern w:val="0"/>
          <w:sz w:val="32"/>
          <w:szCs w:val="32"/>
        </w:rPr>
      </w:pPr>
      <w:r>
        <w:rPr>
          <w:rFonts w:hint="eastAsia" w:ascii="楷体_GB2312" w:eastAsia="楷体_GB2312"/>
          <w:sz w:val="32"/>
          <w:szCs w:val="32"/>
        </w:rPr>
        <w:t>（四）着力形成促进红十字事业发展的合力。</w:t>
      </w:r>
      <w:r>
        <w:rPr>
          <w:rFonts w:hint="eastAsia" w:ascii="仿宋_GB2312" w:eastAsia="仿宋_GB2312"/>
          <w:sz w:val="32"/>
          <w:szCs w:val="32"/>
        </w:rPr>
        <w:t>各县（市、区）要制定措施，支持和推动当地红十字事业发展，并利用红十字会代表大会、理事会和红十字节庆日对为红十字人道事业发展作出突出贡献的先进典型进行表彰。各级人大、政协要加强对红十字法律法规执行情况的监督检查和工作调研，积极为红十字事业发展献计献策，保障红十字会依法办会和履责。红十字会各理事单位要结合各自职能，认真履行职责。各有关部门要支持红十字会加大对红十字标志的保护力度，依法查处未经授权擅自使用或滥用、篡改红十字标志的违法行为。</w:t>
      </w:r>
    </w:p>
    <w:sectPr>
      <w:footerReference r:id="rId3" w:type="default"/>
      <w:pgSz w:w="11906" w:h="16838"/>
      <w:pgMar w:top="1701" w:right="1474" w:bottom="1418"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方正书宋_GBK">
    <w:altName w:val="宋体"/>
    <w:panose1 w:val="00000000000000000000"/>
    <w:charset w:val="00"/>
    <w:family w:val="auto"/>
    <w:pitch w:val="default"/>
    <w:sig w:usb0="00000000" w:usb1="00000000" w:usb2="00000000" w:usb3="00000000" w:csb0="00040001" w:csb1="00000000"/>
  </w:font>
  <w:font w:name="Hiragino Sans GB">
    <w:altName w:val="宋体"/>
    <w:panose1 w:val="00000000000000000000"/>
    <w:charset w:val="00"/>
    <w:family w:val="roman"/>
    <w:pitch w:val="default"/>
    <w:sig w:usb0="00000000" w:usb1="00000000" w:usb2="00000000" w:usb3="00000000" w:csb0="00040001" w:csb1="00000000"/>
  </w:font>
  <w:font w:name="Arial">
    <w:panose1 w:val="020B0604020202020204"/>
    <w:charset w:val="00"/>
    <w:family w:val="swiss"/>
    <w:pitch w:val="default"/>
    <w:sig w:usb0="E0002AFF" w:usb1="C0007843" w:usb2="00000009" w:usb3="00000000" w:csb0="400001FF" w:csb1="FFFF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A31A6"/>
    <w:rsid w:val="00011F9B"/>
    <w:rsid w:val="00064F1D"/>
    <w:rsid w:val="00070EB6"/>
    <w:rsid w:val="000A31A6"/>
    <w:rsid w:val="000B019D"/>
    <w:rsid w:val="001B4670"/>
    <w:rsid w:val="001E6120"/>
    <w:rsid w:val="0022259C"/>
    <w:rsid w:val="0028299C"/>
    <w:rsid w:val="00296E1C"/>
    <w:rsid w:val="002D5D39"/>
    <w:rsid w:val="00336C68"/>
    <w:rsid w:val="003E2F60"/>
    <w:rsid w:val="00415374"/>
    <w:rsid w:val="0044516D"/>
    <w:rsid w:val="00482F4C"/>
    <w:rsid w:val="004D638D"/>
    <w:rsid w:val="004F36CB"/>
    <w:rsid w:val="004F7EDE"/>
    <w:rsid w:val="005112F1"/>
    <w:rsid w:val="005145F0"/>
    <w:rsid w:val="005215AB"/>
    <w:rsid w:val="005300C3"/>
    <w:rsid w:val="00593C54"/>
    <w:rsid w:val="005974A8"/>
    <w:rsid w:val="005C31E2"/>
    <w:rsid w:val="005D6927"/>
    <w:rsid w:val="00622870"/>
    <w:rsid w:val="006568C3"/>
    <w:rsid w:val="006D0A12"/>
    <w:rsid w:val="006D41E9"/>
    <w:rsid w:val="006E3CA2"/>
    <w:rsid w:val="00732176"/>
    <w:rsid w:val="00783F35"/>
    <w:rsid w:val="00786BB5"/>
    <w:rsid w:val="007A12C5"/>
    <w:rsid w:val="007A196B"/>
    <w:rsid w:val="007F213E"/>
    <w:rsid w:val="00871EC9"/>
    <w:rsid w:val="008D43C9"/>
    <w:rsid w:val="00932E07"/>
    <w:rsid w:val="00934567"/>
    <w:rsid w:val="009562DA"/>
    <w:rsid w:val="00966A75"/>
    <w:rsid w:val="009723DA"/>
    <w:rsid w:val="00975DD2"/>
    <w:rsid w:val="00976C96"/>
    <w:rsid w:val="00985AD6"/>
    <w:rsid w:val="009929D1"/>
    <w:rsid w:val="009D0BE5"/>
    <w:rsid w:val="009E5769"/>
    <w:rsid w:val="00AA57D1"/>
    <w:rsid w:val="00AC2065"/>
    <w:rsid w:val="00AF054C"/>
    <w:rsid w:val="00B02A07"/>
    <w:rsid w:val="00B06896"/>
    <w:rsid w:val="00B7187F"/>
    <w:rsid w:val="00B8543D"/>
    <w:rsid w:val="00B869A7"/>
    <w:rsid w:val="00B874DB"/>
    <w:rsid w:val="00BF247A"/>
    <w:rsid w:val="00C1212A"/>
    <w:rsid w:val="00C14859"/>
    <w:rsid w:val="00C16686"/>
    <w:rsid w:val="00C2148F"/>
    <w:rsid w:val="00C26357"/>
    <w:rsid w:val="00C92CC6"/>
    <w:rsid w:val="00D00A9F"/>
    <w:rsid w:val="00D04958"/>
    <w:rsid w:val="00D3494C"/>
    <w:rsid w:val="00DF5185"/>
    <w:rsid w:val="00E04F2E"/>
    <w:rsid w:val="00E073F8"/>
    <w:rsid w:val="00E3333A"/>
    <w:rsid w:val="00E51049"/>
    <w:rsid w:val="00EB1F19"/>
    <w:rsid w:val="00EC71A9"/>
    <w:rsid w:val="00F2539C"/>
    <w:rsid w:val="00F25C9C"/>
    <w:rsid w:val="00F43589"/>
    <w:rsid w:val="00F629E5"/>
    <w:rsid w:val="00FC17F3"/>
    <w:rsid w:val="02233B38"/>
    <w:rsid w:val="0AB6782E"/>
    <w:rsid w:val="0D5028CC"/>
    <w:rsid w:val="10165A55"/>
    <w:rsid w:val="12312062"/>
    <w:rsid w:val="18AB0AF0"/>
    <w:rsid w:val="3D6A3A0B"/>
    <w:rsid w:val="44AC64B4"/>
    <w:rsid w:val="4DB93876"/>
    <w:rsid w:val="5D13561E"/>
    <w:rsid w:val="5EA826C1"/>
    <w:rsid w:val="7A8351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8">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header"/>
    <w:basedOn w:val="1"/>
    <w:link w:val="9"/>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4">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character" w:styleId="6">
    <w:name w:val="Strong"/>
    <w:basedOn w:val="5"/>
    <w:qFormat/>
    <w:uiPriority w:val="0"/>
    <w:rPr>
      <w:b/>
      <w:bCs/>
    </w:rPr>
  </w:style>
  <w:style w:type="character" w:styleId="7">
    <w:name w:val="page number"/>
    <w:basedOn w:val="5"/>
    <w:qFormat/>
    <w:uiPriority w:val="0"/>
    <w:rPr>
      <w:szCs w:val="24"/>
    </w:rPr>
  </w:style>
  <w:style w:type="character" w:customStyle="1" w:styleId="9">
    <w:name w:val="页眉 Char"/>
    <w:basedOn w:val="5"/>
    <w:link w:val="3"/>
    <w:qFormat/>
    <w:uiPriority w:val="0"/>
    <w:rPr>
      <w:rFonts w:ascii="Times New Roman" w:hAnsi="Times New Roman" w:eastAsia="宋体" w:cs="Times New Roman"/>
      <w:sz w:val="18"/>
      <w:szCs w:val="18"/>
    </w:rPr>
  </w:style>
  <w:style w:type="character" w:customStyle="1" w:styleId="10">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1210</Words>
  <Characters>6903</Characters>
  <Lines>57</Lines>
  <Paragraphs>16</Paragraphs>
  <ScaleCrop>false</ScaleCrop>
  <LinksUpToDate>false</LinksUpToDate>
  <CharactersWithSpaces>8097</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2017-10-25T03:11:00Z</dcterms:created>
  <dc:creator>xb21cn</dc:creator>
  <cp:lastModifiedBy>Administrator</cp:lastModifiedBy>
  <cp:lastPrinted>2017-10-25T09:13:00Z</cp:lastPrinted>
  <dcterms:modified xsi:type="dcterms:W3CDTF">2017-10-26T08:03:08Z</dcterms:modified>
  <cp:revision>75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