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温州市红十字会</w:t>
      </w:r>
      <w:r>
        <w:rPr>
          <w:rFonts w:ascii="黑体" w:eastAsia="黑体" w:cs="黑体"/>
          <w:spacing w:val="15"/>
          <w:sz w:val="44"/>
          <w:szCs w:val="44"/>
        </w:rPr>
        <w:t>2017</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rPr>
          <w:rFonts w:ascii="楷体_GB2312" w:hAnsi="Times New Roman" w:eastAsia="楷体_GB2312" w:cs="仿宋"/>
          <w:sz w:val="32"/>
          <w:szCs w:val="32"/>
        </w:rPr>
      </w:pPr>
      <w:r>
        <w:rPr>
          <w:rFonts w:hint="eastAsia" w:ascii="楷体_GB2312" w:hAnsi="Times New Roman" w:eastAsia="楷体_GB2312" w:cs="仿宋"/>
          <w:sz w:val="32"/>
          <w:szCs w:val="32"/>
        </w:rPr>
        <w:t>（一）主要职能</w:t>
      </w:r>
    </w:p>
    <w:p>
      <w:pPr>
        <w:widowControl/>
        <w:ind w:firstLine="639"/>
        <w:rPr>
          <w:rFonts w:ascii="仿宋_GB2312" w:eastAsia="仿宋_GB2312"/>
          <w:sz w:val="32"/>
          <w:szCs w:val="24"/>
        </w:rPr>
      </w:pPr>
      <w:r>
        <w:rPr>
          <w:rFonts w:ascii="仿宋_GB2312" w:eastAsia="仿宋_GB2312"/>
          <w:sz w:val="32"/>
          <w:szCs w:val="24"/>
        </w:rPr>
        <w:t>1.</w:t>
      </w:r>
      <w:r>
        <w:rPr>
          <w:rFonts w:hint="eastAsia" w:ascii="仿宋_GB2312" w:eastAsia="仿宋_GB2312"/>
          <w:sz w:val="32"/>
          <w:szCs w:val="24"/>
        </w:rPr>
        <w:t>负责宣传和贯彻实施《中华人民共和国红十字会法》《中华人民共和国红十字标志使用办法》《中国红十字会章程》；</w:t>
      </w:r>
      <w:r>
        <w:rPr>
          <w:rFonts w:ascii="仿宋_GB2312" w:eastAsia="仿宋_GB2312"/>
          <w:sz w:val="32"/>
          <w:szCs w:val="24"/>
        </w:rPr>
        <w:t xml:space="preserve"> </w:t>
      </w:r>
    </w:p>
    <w:p>
      <w:pPr>
        <w:widowControl/>
        <w:rPr>
          <w:rFonts w:ascii="仿宋_GB2312" w:eastAsia="仿宋_GB2312"/>
          <w:sz w:val="32"/>
          <w:szCs w:val="24"/>
        </w:rPr>
      </w:pPr>
      <w:r>
        <w:rPr>
          <w:rFonts w:ascii="仿宋_GB2312" w:eastAsia="仿宋_GB2312"/>
          <w:sz w:val="32"/>
          <w:szCs w:val="24"/>
        </w:rPr>
        <w:t xml:space="preserve">    2.</w:t>
      </w:r>
      <w:r>
        <w:rPr>
          <w:rFonts w:hint="eastAsia" w:ascii="仿宋_GB2312" w:eastAsia="仿宋_GB2312"/>
          <w:sz w:val="32"/>
          <w:szCs w:val="24"/>
        </w:rPr>
        <w:t>负责研究制订并组织实施全市红十字事业发展规划、计划，指导各县（市、区）红十字会开展工作；</w:t>
      </w:r>
      <w:r>
        <w:rPr>
          <w:rFonts w:ascii="仿宋_GB2312" w:eastAsia="仿宋_GB2312"/>
          <w:sz w:val="32"/>
          <w:szCs w:val="24"/>
        </w:rPr>
        <w:t xml:space="preserve"> </w:t>
      </w:r>
    </w:p>
    <w:p>
      <w:pPr>
        <w:widowControl/>
        <w:ind w:firstLine="639"/>
        <w:rPr>
          <w:rFonts w:ascii="仿宋_GB2312" w:eastAsia="仿宋_GB2312"/>
          <w:sz w:val="32"/>
          <w:szCs w:val="24"/>
        </w:rPr>
      </w:pPr>
      <w:r>
        <w:rPr>
          <w:rFonts w:ascii="仿宋_GB2312" w:eastAsia="仿宋_GB2312"/>
          <w:sz w:val="32"/>
          <w:szCs w:val="24"/>
        </w:rPr>
        <w:t>3.</w:t>
      </w:r>
      <w:r>
        <w:rPr>
          <w:rFonts w:hint="eastAsia" w:ascii="仿宋_GB2312" w:eastAsia="仿宋_GB2312"/>
          <w:sz w:val="32"/>
          <w:szCs w:val="24"/>
        </w:rPr>
        <w:t>开展救援、救灾的相关工作，建立红十字应急救援体系。在战争、武装冲突和自然灾害、事故灾难、公共卫生事件等突发事件中，对伤病人员和其他受害者提供紧急救援和人道救助</w:t>
      </w:r>
      <w:r>
        <w:rPr>
          <w:rFonts w:ascii="仿宋_GB2312" w:eastAsia="仿宋_GB2312"/>
          <w:sz w:val="32"/>
          <w:szCs w:val="24"/>
        </w:rPr>
        <w:t>;</w:t>
      </w:r>
    </w:p>
    <w:p>
      <w:pPr>
        <w:widowControl/>
        <w:ind w:firstLine="639"/>
        <w:rPr>
          <w:rFonts w:ascii="仿宋_GB2312" w:eastAsia="仿宋_GB2312"/>
          <w:sz w:val="32"/>
          <w:szCs w:val="24"/>
        </w:rPr>
      </w:pPr>
      <w:r>
        <w:rPr>
          <w:rFonts w:ascii="仿宋_GB2312" w:eastAsia="仿宋_GB2312"/>
          <w:sz w:val="32"/>
          <w:szCs w:val="24"/>
        </w:rPr>
        <w:t>4.</w:t>
      </w:r>
      <w:r>
        <w:rPr>
          <w:rFonts w:hint="eastAsia" w:ascii="仿宋_GB2312" w:eastAsia="仿宋_GB2312"/>
          <w:sz w:val="32"/>
          <w:szCs w:val="24"/>
        </w:rPr>
        <w:t>开展应急救护培训，普及应急救护、防灾避险和卫生健康知识，组织志愿者参与现场救护</w:t>
      </w:r>
      <w:r>
        <w:rPr>
          <w:rFonts w:ascii="仿宋_GB2312" w:eastAsia="仿宋_GB2312"/>
          <w:sz w:val="32"/>
          <w:szCs w:val="24"/>
        </w:rPr>
        <w:t>;</w:t>
      </w:r>
    </w:p>
    <w:p>
      <w:pPr>
        <w:widowControl/>
        <w:ind w:firstLine="639"/>
        <w:rPr>
          <w:rFonts w:ascii="仿宋_GB2312" w:eastAsia="仿宋_GB2312"/>
          <w:sz w:val="32"/>
          <w:szCs w:val="24"/>
        </w:rPr>
      </w:pPr>
      <w:r>
        <w:rPr>
          <w:rFonts w:ascii="仿宋_GB2312" w:eastAsia="仿宋_GB2312"/>
          <w:sz w:val="32"/>
          <w:szCs w:val="24"/>
        </w:rPr>
        <w:t>5.</w:t>
      </w:r>
      <w:r>
        <w:rPr>
          <w:rFonts w:hint="eastAsia" w:ascii="仿宋_GB2312" w:eastAsia="仿宋_GB2312"/>
          <w:sz w:val="32"/>
          <w:szCs w:val="24"/>
        </w:rPr>
        <w:t>参与、推动无偿献血、遗体和人体器官捐献工作，参与开展造血干细胞捐献的相关工作</w:t>
      </w:r>
      <w:r>
        <w:rPr>
          <w:rFonts w:ascii="仿宋_GB2312" w:eastAsia="仿宋_GB2312"/>
          <w:sz w:val="32"/>
          <w:szCs w:val="24"/>
        </w:rPr>
        <w:t>;</w:t>
      </w:r>
    </w:p>
    <w:p>
      <w:pPr>
        <w:widowControl/>
        <w:ind w:firstLine="639"/>
        <w:rPr>
          <w:rFonts w:ascii="仿宋_GB2312" w:eastAsia="仿宋_GB2312"/>
          <w:sz w:val="32"/>
          <w:szCs w:val="24"/>
        </w:rPr>
      </w:pPr>
      <w:r>
        <w:rPr>
          <w:rFonts w:ascii="仿宋_GB2312" w:eastAsia="仿宋_GB2312"/>
          <w:sz w:val="32"/>
          <w:szCs w:val="24"/>
        </w:rPr>
        <w:t>6.</w:t>
      </w:r>
      <w:r>
        <w:rPr>
          <w:rFonts w:hint="eastAsia" w:ascii="仿宋_GB2312" w:eastAsia="仿宋_GB2312"/>
          <w:sz w:val="32"/>
          <w:szCs w:val="24"/>
        </w:rPr>
        <w:t>组织开展红十字志愿服务、红十字青少年工作</w:t>
      </w:r>
      <w:r>
        <w:rPr>
          <w:rFonts w:ascii="仿宋_GB2312" w:eastAsia="仿宋_GB2312"/>
          <w:sz w:val="32"/>
          <w:szCs w:val="24"/>
        </w:rPr>
        <w:t>;</w:t>
      </w:r>
    </w:p>
    <w:p>
      <w:pPr>
        <w:widowControl/>
        <w:ind w:firstLine="639"/>
        <w:rPr>
          <w:rFonts w:ascii="仿宋_GB2312" w:eastAsia="仿宋_GB2312"/>
          <w:sz w:val="32"/>
          <w:szCs w:val="24"/>
        </w:rPr>
      </w:pPr>
      <w:r>
        <w:rPr>
          <w:rFonts w:ascii="仿宋_GB2312" w:eastAsia="仿宋_GB2312"/>
          <w:sz w:val="32"/>
          <w:szCs w:val="24"/>
        </w:rPr>
        <w:t>7.</w:t>
      </w:r>
      <w:r>
        <w:rPr>
          <w:rFonts w:hint="eastAsia" w:ascii="仿宋_GB2312" w:eastAsia="仿宋_GB2312"/>
          <w:sz w:val="32"/>
          <w:szCs w:val="24"/>
        </w:rPr>
        <w:t>参加国际人道主义救援工作</w:t>
      </w:r>
      <w:r>
        <w:rPr>
          <w:rFonts w:ascii="仿宋_GB2312" w:eastAsia="仿宋_GB2312"/>
          <w:sz w:val="32"/>
          <w:szCs w:val="24"/>
        </w:rPr>
        <w:t>;</w:t>
      </w:r>
    </w:p>
    <w:p>
      <w:pPr>
        <w:widowControl/>
        <w:ind w:firstLine="639"/>
        <w:rPr>
          <w:rFonts w:ascii="仿宋_GB2312" w:eastAsia="仿宋_GB2312"/>
          <w:sz w:val="32"/>
          <w:szCs w:val="24"/>
        </w:rPr>
      </w:pPr>
      <w:r>
        <w:rPr>
          <w:rFonts w:ascii="仿宋_GB2312" w:eastAsia="仿宋_GB2312"/>
          <w:sz w:val="32"/>
          <w:szCs w:val="24"/>
        </w:rPr>
        <w:t>8.</w:t>
      </w:r>
      <w:r>
        <w:rPr>
          <w:rFonts w:hint="eastAsia" w:ascii="仿宋_GB2312" w:eastAsia="仿宋_GB2312"/>
          <w:sz w:val="32"/>
          <w:szCs w:val="24"/>
        </w:rPr>
        <w:t>宣传国际红十字和红新月运动的基本原则和日内瓦公约及其附加议定书</w:t>
      </w:r>
      <w:r>
        <w:rPr>
          <w:rFonts w:ascii="仿宋_GB2312" w:eastAsia="仿宋_GB2312"/>
          <w:sz w:val="32"/>
          <w:szCs w:val="24"/>
        </w:rPr>
        <w:t>;</w:t>
      </w:r>
    </w:p>
    <w:p>
      <w:pPr>
        <w:widowControl/>
        <w:ind w:firstLine="639"/>
        <w:rPr>
          <w:rFonts w:ascii="仿宋_GB2312" w:eastAsia="仿宋_GB2312"/>
          <w:sz w:val="32"/>
          <w:szCs w:val="24"/>
        </w:rPr>
      </w:pPr>
      <w:r>
        <w:rPr>
          <w:rFonts w:ascii="仿宋_GB2312" w:eastAsia="仿宋_GB2312"/>
          <w:sz w:val="32"/>
          <w:szCs w:val="24"/>
        </w:rPr>
        <w:t>9.</w:t>
      </w:r>
      <w:r>
        <w:rPr>
          <w:rFonts w:hint="eastAsia" w:ascii="仿宋_GB2312" w:eastAsia="仿宋_GB2312"/>
          <w:sz w:val="32"/>
          <w:szCs w:val="24"/>
        </w:rPr>
        <w:t>依照国际红十字和红新月运动的基本原则，完成人民政府委托事宜</w:t>
      </w:r>
      <w:r>
        <w:rPr>
          <w:rFonts w:ascii="仿宋_GB2312" w:eastAsia="仿宋_GB2312"/>
          <w:sz w:val="32"/>
          <w:szCs w:val="24"/>
        </w:rPr>
        <w:t>;</w:t>
      </w:r>
    </w:p>
    <w:p>
      <w:pPr>
        <w:widowControl/>
        <w:ind w:firstLine="639"/>
        <w:rPr>
          <w:rFonts w:ascii="仿宋_GB2312" w:eastAsia="仿宋_GB2312"/>
          <w:sz w:val="32"/>
          <w:szCs w:val="24"/>
        </w:rPr>
      </w:pPr>
      <w:r>
        <w:rPr>
          <w:rFonts w:ascii="仿宋_GB2312" w:eastAsia="仿宋_GB2312"/>
          <w:sz w:val="32"/>
          <w:szCs w:val="24"/>
        </w:rPr>
        <w:t>10.</w:t>
      </w:r>
      <w:r>
        <w:rPr>
          <w:rFonts w:hint="eastAsia" w:ascii="仿宋_GB2312" w:eastAsia="仿宋_GB2312"/>
          <w:sz w:val="32"/>
          <w:szCs w:val="24"/>
        </w:rPr>
        <w:t>依照日内瓦公约及其附加议定书的有关规定开展工作</w:t>
      </w:r>
      <w:r>
        <w:rPr>
          <w:rFonts w:ascii="仿宋_GB2312" w:eastAsia="仿宋_GB2312"/>
          <w:sz w:val="32"/>
          <w:szCs w:val="24"/>
        </w:rPr>
        <w:t>;</w:t>
      </w:r>
    </w:p>
    <w:p>
      <w:pPr>
        <w:widowControl/>
        <w:ind w:firstLine="639"/>
        <w:rPr>
          <w:rFonts w:ascii="仿宋_GB2312" w:eastAsia="仿宋_GB2312"/>
          <w:sz w:val="32"/>
          <w:szCs w:val="24"/>
        </w:rPr>
      </w:pPr>
      <w:r>
        <w:rPr>
          <w:rFonts w:ascii="仿宋_GB2312" w:eastAsia="仿宋_GB2312"/>
          <w:sz w:val="32"/>
          <w:szCs w:val="24"/>
        </w:rPr>
        <w:t>11.</w:t>
      </w:r>
      <w:r>
        <w:rPr>
          <w:rFonts w:hint="eastAsia" w:ascii="仿宋_GB2312" w:eastAsia="仿宋_GB2312"/>
          <w:sz w:val="32"/>
          <w:szCs w:val="24"/>
        </w:rPr>
        <w:t>协助人民政府开展与其职责相关的其他人道主义服务活动。</w:t>
      </w:r>
    </w:p>
    <w:p>
      <w:pPr>
        <w:widowControl/>
        <w:rPr>
          <w:rFonts w:ascii="楷体_GB2312" w:hAnsi="Times New Roman" w:eastAsia="楷体_GB2312" w:cs="仿宋"/>
          <w:sz w:val="32"/>
          <w:szCs w:val="32"/>
        </w:rPr>
      </w:pPr>
      <w:r>
        <w:rPr>
          <w:rFonts w:ascii="仿宋_GB2312" w:eastAsia="仿宋_GB2312"/>
          <w:sz w:val="32"/>
          <w:szCs w:val="24"/>
        </w:rPr>
        <w:t xml:space="preserve">  </w:t>
      </w:r>
      <w:r>
        <w:rPr>
          <w:rFonts w:hint="eastAsia" w:ascii="楷体_GB2312" w:hAnsi="Times New Roman" w:eastAsia="楷体_GB2312" w:cs="仿宋"/>
          <w:sz w:val="32"/>
          <w:szCs w:val="32"/>
        </w:rPr>
        <w:t>（二）部门决算单位构成</w:t>
      </w:r>
    </w:p>
    <w:p>
      <w:pPr>
        <w:autoSpaceDE w:val="0"/>
        <w:autoSpaceDN w:val="0"/>
        <w:adjustRightInd w:val="0"/>
        <w:spacing w:line="560" w:lineRule="exact"/>
        <w:ind w:firstLine="588"/>
        <w:rPr>
          <w:rFonts w:ascii="仿宋_GB2312" w:hAnsi="Times New Roman" w:eastAsia="仿宋_GB2312" w:cs="仿宋"/>
          <w:sz w:val="32"/>
          <w:szCs w:val="32"/>
        </w:rPr>
      </w:pPr>
      <w:r>
        <w:rPr>
          <w:rFonts w:ascii="仿宋_GB2312" w:hAnsi="Times New Roman" w:eastAsia="仿宋_GB2312" w:cs="仿宋"/>
          <w:sz w:val="32"/>
          <w:szCs w:val="32"/>
          <w:lang w:val="zh-CN"/>
        </w:rPr>
        <w:t>2017</w:t>
      </w:r>
      <w:r>
        <w:rPr>
          <w:rFonts w:hint="eastAsia" w:ascii="仿宋_GB2312" w:hAnsi="Times New Roman" w:eastAsia="仿宋_GB2312" w:cs="仿宋"/>
          <w:sz w:val="32"/>
          <w:szCs w:val="32"/>
          <w:lang w:val="zh-CN"/>
        </w:rPr>
        <w:t>年度温州市红十字会</w:t>
      </w:r>
      <w:r>
        <w:rPr>
          <w:rFonts w:hint="eastAsia" w:ascii="仿宋_GB2312" w:hAnsi="Times New Roman" w:eastAsia="仿宋_GB2312" w:cs="仿宋"/>
          <w:sz w:val="32"/>
          <w:szCs w:val="32"/>
        </w:rPr>
        <w:t>部门决算包括：</w:t>
      </w:r>
      <w:r>
        <w:rPr>
          <w:rFonts w:ascii="仿宋_GB2312" w:hAnsi="Times New Roman" w:eastAsia="仿宋_GB2312" w:cs="仿宋"/>
          <w:sz w:val="32"/>
          <w:szCs w:val="32"/>
        </w:rPr>
        <w:t>1</w:t>
      </w:r>
      <w:r>
        <w:rPr>
          <w:rFonts w:hint="eastAsia" w:ascii="仿宋_GB2312" w:hAnsi="Times New Roman" w:eastAsia="仿宋_GB2312" w:cs="仿宋"/>
          <w:sz w:val="32"/>
          <w:szCs w:val="32"/>
        </w:rPr>
        <w:t>个参照公务员管理事业单位本级决算，具体如下：</w:t>
      </w:r>
    </w:p>
    <w:tbl>
      <w:tblPr>
        <w:tblStyle w:val="5"/>
        <w:tblW w:w="6260" w:type="dxa"/>
        <w:jc w:val="center"/>
        <w:tblLayout w:type="autofit"/>
        <w:tblCellMar>
          <w:top w:w="0" w:type="dxa"/>
          <w:left w:w="108" w:type="dxa"/>
          <w:bottom w:w="0" w:type="dxa"/>
          <w:right w:w="108" w:type="dxa"/>
        </w:tblCellMar>
      </w:tblPr>
      <w:tblGrid>
        <w:gridCol w:w="760"/>
        <w:gridCol w:w="5500"/>
      </w:tblGrid>
      <w:tr>
        <w:trPr>
          <w:trHeight w:val="510" w:hRule="atLeast"/>
          <w:jc w:val="center"/>
        </w:trPr>
        <w:tc>
          <w:tcPr>
            <w:tcW w:w="76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22"/>
              </w:rPr>
            </w:pPr>
            <w:r>
              <w:rPr>
                <w:rFonts w:hint="eastAsia" w:ascii="宋体" w:hAnsi="宋体" w:cs="Arial"/>
                <w:color w:val="000000"/>
                <w:kern w:val="0"/>
                <w:sz w:val="22"/>
              </w:rPr>
              <w:t>序号</w:t>
            </w:r>
          </w:p>
        </w:tc>
        <w:tc>
          <w:tcPr>
            <w:tcW w:w="5500" w:type="dxa"/>
            <w:tcBorders>
              <w:top w:val="single" w:color="auto" w:sz="4" w:space="0"/>
              <w:left w:val="nil"/>
              <w:bottom w:val="single" w:color="auto" w:sz="4" w:space="0"/>
              <w:right w:val="single" w:color="auto" w:sz="4" w:space="0"/>
            </w:tcBorders>
            <w:noWrap/>
            <w:vAlign w:val="bottom"/>
          </w:tcPr>
          <w:p>
            <w:pPr>
              <w:widowControl/>
              <w:jc w:val="center"/>
              <w:rPr>
                <w:rFonts w:ascii="宋体" w:cs="Arial"/>
                <w:color w:val="000000"/>
                <w:kern w:val="0"/>
                <w:sz w:val="22"/>
              </w:rPr>
            </w:pPr>
            <w:r>
              <w:rPr>
                <w:rFonts w:hint="eastAsia" w:ascii="宋体" w:hAnsi="宋体" w:cs="Arial"/>
                <w:color w:val="000000"/>
                <w:kern w:val="0"/>
                <w:sz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1</w:t>
            </w:r>
          </w:p>
        </w:tc>
        <w:tc>
          <w:tcPr>
            <w:tcW w:w="5500" w:type="dxa"/>
            <w:tcBorders>
              <w:top w:val="nil"/>
              <w:left w:val="nil"/>
              <w:bottom w:val="single" w:color="auto" w:sz="4" w:space="0"/>
              <w:right w:val="single" w:color="auto" w:sz="4" w:space="0"/>
            </w:tcBorders>
            <w:noWrap/>
            <w:vAlign w:val="center"/>
          </w:tcPr>
          <w:p>
            <w:pPr>
              <w:widowControl/>
              <w:rPr>
                <w:rFonts w:ascii="宋体" w:cs="Arial"/>
                <w:color w:val="000000"/>
                <w:kern w:val="0"/>
                <w:sz w:val="22"/>
              </w:rPr>
            </w:pPr>
            <w:r>
              <w:rPr>
                <w:rFonts w:hint="eastAsia" w:ascii="宋体" w:hAnsi="宋体" w:cs="Arial"/>
                <w:color w:val="000000"/>
                <w:kern w:val="0"/>
                <w:sz w:val="22"/>
              </w:rPr>
              <w:t>　温州市红十字会本级</w:t>
            </w:r>
          </w:p>
        </w:tc>
      </w:tr>
    </w:tbl>
    <w:p>
      <w:pPr>
        <w:autoSpaceDE w:val="0"/>
        <w:autoSpaceDN w:val="0"/>
        <w:adjustRightInd w:val="0"/>
        <w:spacing w:line="560" w:lineRule="exact"/>
        <w:ind w:firstLine="627"/>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w:t>
      </w:r>
      <w:r>
        <w:rPr>
          <w:rFonts w:hint="eastAsia" w:ascii="黑体" w:hAnsi="Times New Roman" w:eastAsia="黑体" w:cs="黑体"/>
          <w:sz w:val="32"/>
          <w:szCs w:val="32"/>
          <w:lang w:val="zh-CN"/>
        </w:rPr>
        <w:t>年度部门决算报表</w:t>
      </w:r>
    </w:p>
    <w:tbl>
      <w:tblPr>
        <w:tblStyle w:val="5"/>
        <w:tblW w:w="9341" w:type="dxa"/>
        <w:tblInd w:w="93" w:type="dxa"/>
        <w:tblLayout w:type="autofit"/>
        <w:tblCellMar>
          <w:top w:w="0" w:type="dxa"/>
          <w:left w:w="108" w:type="dxa"/>
          <w:bottom w:w="0" w:type="dxa"/>
          <w:right w:w="108" w:type="dxa"/>
        </w:tblCellMar>
      </w:tblPr>
      <w:tblGrid>
        <w:gridCol w:w="2406"/>
        <w:gridCol w:w="1122"/>
        <w:gridCol w:w="848"/>
        <w:gridCol w:w="2836"/>
        <w:gridCol w:w="2129"/>
      </w:tblGrid>
      <w:tr>
        <w:tblPrEx>
          <w:tblCellMar>
            <w:top w:w="0" w:type="dxa"/>
            <w:left w:w="108" w:type="dxa"/>
            <w:bottom w:w="0" w:type="dxa"/>
            <w:right w:w="108" w:type="dxa"/>
          </w:tblCellMar>
        </w:tblPrEx>
        <w:trPr>
          <w:trHeight w:val="444" w:hRule="atLeast"/>
        </w:trPr>
        <w:tc>
          <w:tcPr>
            <w:tcW w:w="9341" w:type="dxa"/>
            <w:gridSpan w:val="5"/>
            <w:tcBorders>
              <w:top w:val="nil"/>
              <w:left w:val="nil"/>
              <w:bottom w:val="nil"/>
              <w:right w:val="nil"/>
            </w:tcBorders>
            <w:noWrap/>
            <w:vAlign w:val="bottom"/>
          </w:tcPr>
          <w:p>
            <w:pPr>
              <w:autoSpaceDE w:val="0"/>
              <w:autoSpaceDN w:val="0"/>
              <w:adjustRightInd w:val="0"/>
              <w:spacing w:line="560" w:lineRule="exact"/>
              <w:ind w:firstLine="627"/>
              <w:jc w:val="center"/>
              <w:rPr>
                <w:rFonts w:ascii="黑体" w:hAnsi="Times New Roman" w:eastAsia="黑体" w:cs="仿宋"/>
                <w:sz w:val="32"/>
                <w:szCs w:val="32"/>
              </w:rPr>
            </w:pPr>
            <w:r>
              <w:rPr>
                <w:rFonts w:ascii="黑体" w:hAnsi="Times New Roman" w:eastAsia="黑体" w:cs="仿宋"/>
                <w:sz w:val="32"/>
                <w:szCs w:val="32"/>
              </w:rPr>
              <w:t>2017</w:t>
            </w:r>
            <w:r>
              <w:rPr>
                <w:rFonts w:hint="eastAsia" w:ascii="黑体" w:hAnsi="Times New Roman" w:eastAsia="黑体" w:cs="仿宋"/>
                <w:sz w:val="32"/>
                <w:szCs w:val="32"/>
              </w:rPr>
              <w:t>年度部门收支决算总表</w:t>
            </w:r>
          </w:p>
        </w:tc>
      </w:tr>
      <w:tr>
        <w:tblPrEx>
          <w:tblCellMar>
            <w:top w:w="0" w:type="dxa"/>
            <w:left w:w="108" w:type="dxa"/>
            <w:bottom w:w="0" w:type="dxa"/>
            <w:right w:w="108" w:type="dxa"/>
          </w:tblCellMar>
        </w:tblPrEx>
        <w:trPr>
          <w:trHeight w:val="210" w:hRule="atLeast"/>
        </w:trPr>
        <w:tc>
          <w:tcPr>
            <w:tcW w:w="3528" w:type="dxa"/>
            <w:gridSpan w:val="2"/>
            <w:tcBorders>
              <w:top w:val="nil"/>
              <w:left w:val="nil"/>
              <w:bottom w:val="nil"/>
              <w:right w:val="nil"/>
            </w:tcBorders>
            <w:noWrap/>
            <w:vAlign w:val="bottom"/>
          </w:tcPr>
          <w:p>
            <w:pPr>
              <w:widowControl/>
              <w:jc w:val="left"/>
              <w:rPr>
                <w:rFonts w:ascii="宋体" w:cs="Arial"/>
                <w:color w:val="000000"/>
                <w:kern w:val="0"/>
                <w:sz w:val="18"/>
                <w:szCs w:val="18"/>
              </w:rPr>
            </w:pPr>
          </w:p>
        </w:tc>
        <w:tc>
          <w:tcPr>
            <w:tcW w:w="848"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83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129" w:type="dxa"/>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01</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210" w:hRule="atLeast"/>
        </w:trPr>
        <w:tc>
          <w:tcPr>
            <w:tcW w:w="3528" w:type="dxa"/>
            <w:gridSpan w:val="2"/>
            <w:tcBorders>
              <w:top w:val="nil"/>
              <w:left w:val="nil"/>
              <w:bottom w:val="nil"/>
              <w:right w:val="nil"/>
            </w:tcBorders>
            <w:noWrap/>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部门：温州市红十字会</w:t>
            </w:r>
          </w:p>
        </w:tc>
        <w:tc>
          <w:tcPr>
            <w:tcW w:w="848"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836" w:type="dxa"/>
            <w:tcBorders>
              <w:top w:val="nil"/>
              <w:left w:val="nil"/>
              <w:bottom w:val="nil"/>
              <w:right w:val="nil"/>
            </w:tcBorders>
            <w:noWrap/>
            <w:vAlign w:val="bottom"/>
          </w:tcPr>
          <w:p>
            <w:pPr>
              <w:widowControl/>
              <w:jc w:val="left"/>
              <w:rPr>
                <w:rFonts w:ascii="宋体" w:cs="Arial"/>
                <w:color w:val="000000"/>
                <w:kern w:val="0"/>
                <w:sz w:val="18"/>
                <w:szCs w:val="18"/>
              </w:rPr>
            </w:pPr>
          </w:p>
        </w:tc>
        <w:tc>
          <w:tcPr>
            <w:tcW w:w="2129" w:type="dxa"/>
            <w:tcBorders>
              <w:top w:val="nil"/>
              <w:left w:val="nil"/>
              <w:bottom w:val="nil"/>
              <w:right w:val="nil"/>
            </w:tcBorders>
            <w:noWrap/>
            <w:vAlign w:val="bottom"/>
          </w:tcPr>
          <w:p>
            <w:pPr>
              <w:widowControl/>
              <w:jc w:val="right"/>
              <w:rPr>
                <w:rFonts w:asci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253" w:hRule="atLeast"/>
        </w:trPr>
        <w:tc>
          <w:tcPr>
            <w:tcW w:w="4376"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4965"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197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28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21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423.45</w:t>
            </w: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2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一般公共预算</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399.78</w:t>
            </w: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2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政府性基金预算</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23.67</w:t>
            </w: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2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2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2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2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2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377.29</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8.09</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14.40</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23.67</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本年收入合计</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423.45</w:t>
            </w:r>
          </w:p>
        </w:tc>
        <w:tc>
          <w:tcPr>
            <w:tcW w:w="283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本年支出合计</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423.45</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七、用事业基金弥补收支差额</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二十三、结余分配</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八、年初结转和结余</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4.11</w:t>
            </w: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交纳所得税</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基本支出结转</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0.09</w:t>
            </w: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提取职工福利基金</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项目支出结转和结余</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4.02</w:t>
            </w: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转入事业基金</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经营结余</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二十四、年末结转和结余</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4.11</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基本支出结转</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0.09</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项目支出结转和结余</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4.02</w:t>
            </w: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经营结余</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c>
          <w:tcPr>
            <w:tcW w:w="283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8"/>
                <w:szCs w:val="18"/>
              </w:rPr>
            </w:pPr>
          </w:p>
        </w:tc>
      </w:tr>
      <w:tr>
        <w:tblPrEx>
          <w:tblCellMar>
            <w:top w:w="0" w:type="dxa"/>
            <w:left w:w="108" w:type="dxa"/>
            <w:bottom w:w="0" w:type="dxa"/>
            <w:right w:w="108" w:type="dxa"/>
          </w:tblCellMar>
        </w:tblPrEx>
        <w:trPr>
          <w:trHeight w:val="253" w:hRule="atLeast"/>
        </w:trPr>
        <w:tc>
          <w:tcPr>
            <w:tcW w:w="24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r>
              <w:rPr>
                <w:rFonts w:ascii="宋体" w:hAnsi="宋体" w:cs="Arial"/>
                <w:color w:val="000000"/>
                <w:kern w:val="0"/>
                <w:sz w:val="18"/>
                <w:szCs w:val="18"/>
              </w:rPr>
              <w:t xml:space="preserve">  </w:t>
            </w: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970"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427.56</w:t>
            </w:r>
          </w:p>
        </w:tc>
        <w:tc>
          <w:tcPr>
            <w:tcW w:w="28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r>
              <w:rPr>
                <w:rFonts w:ascii="宋体" w:hAnsi="宋体" w:cs="Arial"/>
                <w:color w:val="000000"/>
                <w:kern w:val="0"/>
                <w:sz w:val="18"/>
                <w:szCs w:val="18"/>
              </w:rPr>
              <w:t xml:space="preserve">  </w:t>
            </w: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212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8"/>
                <w:szCs w:val="18"/>
              </w:rPr>
            </w:pPr>
            <w:r>
              <w:rPr>
                <w:rFonts w:ascii="宋体" w:hAnsi="宋体" w:cs="Arial"/>
                <w:color w:val="000000"/>
                <w:kern w:val="0"/>
                <w:sz w:val="18"/>
                <w:szCs w:val="18"/>
              </w:rPr>
              <w:t>427.56</w:t>
            </w:r>
          </w:p>
        </w:tc>
      </w:tr>
    </w:tbl>
    <w:p>
      <w:pPr>
        <w:autoSpaceDE w:val="0"/>
        <w:autoSpaceDN w:val="0"/>
        <w:adjustRightInd w:val="0"/>
        <w:spacing w:line="560" w:lineRule="exact"/>
        <w:rPr>
          <w:rFonts w:ascii="黑体" w:hAnsi="Times New Roman" w:eastAsia="黑体" w:cs="黑体"/>
          <w:sz w:val="32"/>
          <w:szCs w:val="32"/>
          <w:lang w:val="zh-CN"/>
        </w:rPr>
      </w:pPr>
    </w:p>
    <w:p>
      <w:pPr>
        <w:autoSpaceDE w:val="0"/>
        <w:autoSpaceDN w:val="0"/>
        <w:adjustRightInd w:val="0"/>
        <w:spacing w:line="560" w:lineRule="exact"/>
        <w:ind w:firstLine="627"/>
        <w:jc w:val="center"/>
        <w:rPr>
          <w:rFonts w:ascii="仿宋" w:hAnsi="Times New Roman" w:eastAsia="仿宋" w:cs="仿宋"/>
          <w:b/>
          <w:sz w:val="32"/>
          <w:szCs w:val="32"/>
        </w:rPr>
      </w:pPr>
      <w:r>
        <w:rPr>
          <w:rFonts w:ascii="仿宋" w:hAnsi="Times New Roman" w:eastAsia="仿宋" w:cs="仿宋"/>
          <w:b/>
          <w:sz w:val="32"/>
          <w:szCs w:val="32"/>
        </w:rPr>
        <w:t>2017</w:t>
      </w:r>
      <w:r>
        <w:rPr>
          <w:rFonts w:hint="eastAsia" w:ascii="仿宋" w:hAnsi="Times New Roman" w:eastAsia="仿宋" w:cs="仿宋"/>
          <w:b/>
          <w:sz w:val="32"/>
          <w:szCs w:val="32"/>
        </w:rPr>
        <w:t>年度部门收入决算总表</w:t>
      </w:r>
      <w:r>
        <w:rPr>
          <w:rFonts w:ascii="仿宋" w:hAnsi="Times New Roman" w:eastAsia="仿宋" w:cs="仿宋"/>
          <w:b/>
          <w:sz w:val="32"/>
          <w:szCs w:val="32"/>
        </w:rPr>
        <w:t>(</w:t>
      </w:r>
      <w:r>
        <w:rPr>
          <w:rFonts w:hint="eastAsia" w:ascii="仿宋" w:hAnsi="Times New Roman" w:eastAsia="仿宋" w:cs="仿宋"/>
          <w:b/>
          <w:sz w:val="32"/>
          <w:szCs w:val="32"/>
        </w:rPr>
        <w:t>分单位）</w:t>
      </w:r>
    </w:p>
    <w:tbl>
      <w:tblPr>
        <w:tblStyle w:val="5"/>
        <w:tblW w:w="28312" w:type="dxa"/>
        <w:tblInd w:w="93" w:type="dxa"/>
        <w:tblLayout w:type="autofit"/>
        <w:tblCellMar>
          <w:top w:w="0" w:type="dxa"/>
          <w:left w:w="108" w:type="dxa"/>
          <w:bottom w:w="0" w:type="dxa"/>
          <w:right w:w="108" w:type="dxa"/>
        </w:tblCellMar>
      </w:tblPr>
      <w:tblGrid>
        <w:gridCol w:w="20632"/>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20632" w:type="dxa"/>
            <w:tcBorders>
              <w:top w:val="nil"/>
              <w:left w:val="nil"/>
              <w:bottom w:val="nil"/>
              <w:right w:val="nil"/>
            </w:tcBorders>
            <w:noWrap/>
            <w:vAlign w:val="bottom"/>
          </w:tcPr>
          <w:tbl>
            <w:tblPr>
              <w:tblStyle w:val="5"/>
              <w:tblpPr w:leftFromText="180" w:rightFromText="180" w:vertAnchor="page" w:horzAnchor="margin" w:tblpY="196"/>
              <w:tblOverlap w:val="never"/>
              <w:tblW w:w="10240" w:type="dxa"/>
              <w:tblInd w:w="0" w:type="dxa"/>
              <w:tblLayout w:type="autofit"/>
              <w:tblCellMar>
                <w:top w:w="0" w:type="dxa"/>
                <w:left w:w="108" w:type="dxa"/>
                <w:bottom w:w="0" w:type="dxa"/>
                <w:right w:w="108" w:type="dxa"/>
              </w:tblCellMar>
            </w:tblPr>
            <w:tblGrid>
              <w:gridCol w:w="1545"/>
              <w:gridCol w:w="1021"/>
              <w:gridCol w:w="834"/>
              <w:gridCol w:w="1023"/>
              <w:gridCol w:w="115"/>
              <w:gridCol w:w="907"/>
              <w:gridCol w:w="907"/>
              <w:gridCol w:w="648"/>
              <w:gridCol w:w="648"/>
              <w:gridCol w:w="648"/>
              <w:gridCol w:w="648"/>
              <w:gridCol w:w="648"/>
              <w:gridCol w:w="648"/>
            </w:tblGrid>
            <w:tr>
              <w:tblPrEx>
                <w:tblCellMar>
                  <w:top w:w="0" w:type="dxa"/>
                  <w:left w:w="108" w:type="dxa"/>
                  <w:bottom w:w="0" w:type="dxa"/>
                  <w:right w:w="108" w:type="dxa"/>
                </w:tblCellMar>
              </w:tblPrEx>
              <w:trPr>
                <w:trHeight w:val="273" w:hRule="atLeast"/>
              </w:trPr>
              <w:tc>
                <w:tcPr>
                  <w:tcW w:w="4538" w:type="dxa"/>
                  <w:gridSpan w:val="5"/>
                  <w:tcBorders>
                    <w:top w:val="nil"/>
                    <w:left w:val="nil"/>
                    <w:bottom w:val="nil"/>
                    <w:right w:val="nil"/>
                  </w:tcBorders>
                  <w:noWrap/>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部门：温州市红十字会</w:t>
                  </w:r>
                </w:p>
              </w:tc>
              <w:tc>
                <w:tcPr>
                  <w:tcW w:w="90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0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43" w:type="dxa"/>
                  <w:gridSpan w:val="3"/>
                  <w:tcBorders>
                    <w:top w:val="nil"/>
                    <w:left w:val="nil"/>
                    <w:bottom w:val="single" w:color="000000" w:sz="8" w:space="0"/>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543" w:hRule="atLeast"/>
              </w:trPr>
              <w:tc>
                <w:tcPr>
                  <w:tcW w:w="1545"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1021"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8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2952" w:type="dxa"/>
                  <w:gridSpan w:val="4"/>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64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64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64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其他收入</w:t>
                  </w:r>
                </w:p>
              </w:tc>
              <w:tc>
                <w:tcPr>
                  <w:tcW w:w="64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64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648"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903" w:hRule="atLeast"/>
              </w:trPr>
              <w:tc>
                <w:tcPr>
                  <w:tcW w:w="1545"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2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23"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022"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90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w:t>
                  </w:r>
                </w:p>
              </w:tc>
              <w:tc>
                <w:tcPr>
                  <w:tcW w:w="6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8" w:type="dxa"/>
                  <w:vMerge w:val="continue"/>
                  <w:tcBorders>
                    <w:top w:val="nil"/>
                    <w:left w:val="nil"/>
                    <w:bottom w:val="single" w:color="000000" w:sz="4" w:space="0"/>
                    <w:right w:val="single" w:color="000000" w:sz="8"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11" w:hRule="atLeast"/>
              </w:trPr>
              <w:tc>
                <w:tcPr>
                  <w:tcW w:w="1545"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02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8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02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022"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90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64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64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64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64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64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10</w:t>
                  </w:r>
                </w:p>
              </w:tc>
              <w:tc>
                <w:tcPr>
                  <w:tcW w:w="648"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11</w:t>
                  </w:r>
                </w:p>
              </w:tc>
            </w:tr>
            <w:tr>
              <w:tblPrEx>
                <w:tblCellMar>
                  <w:top w:w="0" w:type="dxa"/>
                  <w:left w:w="108" w:type="dxa"/>
                  <w:bottom w:w="0" w:type="dxa"/>
                  <w:right w:w="108" w:type="dxa"/>
                </w:tblCellMar>
              </w:tblPrEx>
              <w:trPr>
                <w:trHeight w:val="311" w:hRule="atLeast"/>
              </w:trPr>
              <w:tc>
                <w:tcPr>
                  <w:tcW w:w="1545"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021" w:type="dxa"/>
                  <w:tcBorders>
                    <w:top w:val="nil"/>
                    <w:left w:val="nil"/>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427.56</w:t>
                  </w:r>
                </w:p>
              </w:tc>
              <w:tc>
                <w:tcPr>
                  <w:tcW w:w="834" w:type="dxa"/>
                  <w:tcBorders>
                    <w:top w:val="nil"/>
                    <w:left w:val="nil"/>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4.11</w:t>
                  </w:r>
                </w:p>
              </w:tc>
              <w:tc>
                <w:tcPr>
                  <w:tcW w:w="1023" w:type="dxa"/>
                  <w:tcBorders>
                    <w:top w:val="nil"/>
                    <w:left w:val="nil"/>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423.45</w:t>
                  </w:r>
                </w:p>
              </w:tc>
              <w:tc>
                <w:tcPr>
                  <w:tcW w:w="1022" w:type="dxa"/>
                  <w:gridSpan w:val="2"/>
                  <w:tcBorders>
                    <w:top w:val="nil"/>
                    <w:left w:val="nil"/>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399.78</w:t>
                  </w:r>
                </w:p>
              </w:tc>
              <w:tc>
                <w:tcPr>
                  <w:tcW w:w="907" w:type="dxa"/>
                  <w:tcBorders>
                    <w:top w:val="nil"/>
                    <w:left w:val="nil"/>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23.67</w:t>
                  </w:r>
                </w:p>
              </w:tc>
              <w:tc>
                <w:tcPr>
                  <w:tcW w:w="648"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8" w:space="0"/>
                  </w:tcBorders>
                  <w:shd w:val="clear" w:color="000000" w:fill="FFFFFF"/>
                  <w:noWrap/>
                  <w:vAlign w:val="center"/>
                </w:tcPr>
                <w:p>
                  <w:pPr>
                    <w:widowControl/>
                    <w:jc w:val="right"/>
                    <w:rPr>
                      <w:rFonts w:cs="Arial"/>
                      <w:sz w:val="15"/>
                      <w:szCs w:val="15"/>
                    </w:rPr>
                  </w:pPr>
                  <w:r>
                    <w:rPr>
                      <w:rFonts w:hint="eastAsia" w:cs="Arial"/>
                      <w:sz w:val="15"/>
                      <w:szCs w:val="15"/>
                    </w:rPr>
                    <w:t>　</w:t>
                  </w:r>
                </w:p>
              </w:tc>
            </w:tr>
            <w:tr>
              <w:tblPrEx>
                <w:tblCellMar>
                  <w:top w:w="0" w:type="dxa"/>
                  <w:left w:w="108" w:type="dxa"/>
                  <w:bottom w:w="0" w:type="dxa"/>
                  <w:right w:w="108" w:type="dxa"/>
                </w:tblCellMar>
              </w:tblPrEx>
              <w:trPr>
                <w:trHeight w:val="311" w:hRule="atLeast"/>
              </w:trPr>
              <w:tc>
                <w:tcPr>
                  <w:tcW w:w="1545"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8"/>
                      <w:szCs w:val="18"/>
                    </w:rPr>
                    <w:t>　</w:t>
                  </w:r>
                  <w:r>
                    <w:rPr>
                      <w:rFonts w:hint="eastAsia" w:ascii="宋体" w:hAnsi="宋体" w:cs="Arial"/>
                      <w:color w:val="000000"/>
                      <w:kern w:val="0"/>
                      <w:sz w:val="16"/>
                      <w:szCs w:val="16"/>
                    </w:rPr>
                    <w:t>温州市红十字会</w:t>
                  </w:r>
                </w:p>
              </w:tc>
              <w:tc>
                <w:tcPr>
                  <w:tcW w:w="1021" w:type="dxa"/>
                  <w:tcBorders>
                    <w:top w:val="nil"/>
                    <w:left w:val="nil"/>
                    <w:bottom w:val="single" w:color="000000" w:sz="4" w:space="0"/>
                    <w:right w:val="single" w:color="000000" w:sz="4" w:space="0"/>
                  </w:tcBorders>
                  <w:shd w:val="clear" w:color="000000" w:fill="FFFFFF"/>
                  <w:vAlign w:val="center"/>
                </w:tcPr>
                <w:p>
                  <w:pPr>
                    <w:jc w:val="center"/>
                    <w:rPr>
                      <w:rFonts w:cs="Arial"/>
                      <w:sz w:val="18"/>
                      <w:szCs w:val="18"/>
                    </w:rPr>
                  </w:pPr>
                  <w:r>
                    <w:rPr>
                      <w:rFonts w:cs="Arial"/>
                      <w:sz w:val="18"/>
                      <w:szCs w:val="18"/>
                    </w:rPr>
                    <w:t>427.56</w:t>
                  </w:r>
                </w:p>
              </w:tc>
              <w:tc>
                <w:tcPr>
                  <w:tcW w:w="834" w:type="dxa"/>
                  <w:tcBorders>
                    <w:top w:val="nil"/>
                    <w:left w:val="nil"/>
                    <w:bottom w:val="single" w:color="000000" w:sz="4" w:space="0"/>
                    <w:right w:val="single" w:color="000000" w:sz="4" w:space="0"/>
                  </w:tcBorders>
                  <w:shd w:val="clear" w:color="000000" w:fill="FFFFFF"/>
                  <w:vAlign w:val="center"/>
                </w:tcPr>
                <w:p>
                  <w:pPr>
                    <w:jc w:val="center"/>
                    <w:rPr>
                      <w:rFonts w:cs="Arial"/>
                      <w:sz w:val="18"/>
                      <w:szCs w:val="18"/>
                    </w:rPr>
                  </w:pPr>
                  <w:r>
                    <w:rPr>
                      <w:rFonts w:cs="Arial"/>
                      <w:sz w:val="18"/>
                      <w:szCs w:val="18"/>
                    </w:rPr>
                    <w:t>4.11</w:t>
                  </w:r>
                </w:p>
              </w:tc>
              <w:tc>
                <w:tcPr>
                  <w:tcW w:w="1023" w:type="dxa"/>
                  <w:tcBorders>
                    <w:top w:val="nil"/>
                    <w:left w:val="nil"/>
                    <w:bottom w:val="single" w:color="000000" w:sz="4" w:space="0"/>
                    <w:right w:val="single" w:color="000000" w:sz="4" w:space="0"/>
                  </w:tcBorders>
                  <w:shd w:val="clear" w:color="000000" w:fill="FFFFFF"/>
                  <w:vAlign w:val="center"/>
                </w:tcPr>
                <w:p>
                  <w:pPr>
                    <w:jc w:val="center"/>
                    <w:rPr>
                      <w:rFonts w:cs="Arial"/>
                      <w:sz w:val="18"/>
                      <w:szCs w:val="18"/>
                    </w:rPr>
                  </w:pPr>
                  <w:r>
                    <w:rPr>
                      <w:rFonts w:cs="Arial"/>
                      <w:sz w:val="18"/>
                      <w:szCs w:val="18"/>
                    </w:rPr>
                    <w:t>423.45</w:t>
                  </w:r>
                </w:p>
              </w:tc>
              <w:tc>
                <w:tcPr>
                  <w:tcW w:w="1022" w:type="dxa"/>
                  <w:gridSpan w:val="2"/>
                  <w:tcBorders>
                    <w:top w:val="nil"/>
                    <w:left w:val="nil"/>
                    <w:bottom w:val="single" w:color="000000" w:sz="4" w:space="0"/>
                    <w:right w:val="single" w:color="000000" w:sz="4" w:space="0"/>
                  </w:tcBorders>
                  <w:shd w:val="clear" w:color="000000" w:fill="FFFFFF"/>
                  <w:vAlign w:val="center"/>
                </w:tcPr>
                <w:p>
                  <w:pPr>
                    <w:jc w:val="center"/>
                    <w:rPr>
                      <w:rFonts w:cs="Arial"/>
                      <w:sz w:val="18"/>
                      <w:szCs w:val="18"/>
                    </w:rPr>
                  </w:pPr>
                  <w:r>
                    <w:rPr>
                      <w:rFonts w:cs="Arial"/>
                      <w:sz w:val="18"/>
                      <w:szCs w:val="18"/>
                    </w:rPr>
                    <w:t>399.78</w:t>
                  </w:r>
                </w:p>
              </w:tc>
              <w:tc>
                <w:tcPr>
                  <w:tcW w:w="907" w:type="dxa"/>
                  <w:tcBorders>
                    <w:top w:val="nil"/>
                    <w:left w:val="nil"/>
                    <w:bottom w:val="single" w:color="000000" w:sz="4" w:space="0"/>
                    <w:right w:val="single" w:color="000000" w:sz="4" w:space="0"/>
                  </w:tcBorders>
                  <w:shd w:val="clear" w:color="000000" w:fill="FFFFFF"/>
                  <w:vAlign w:val="center"/>
                </w:tcPr>
                <w:p>
                  <w:pPr>
                    <w:jc w:val="center"/>
                    <w:rPr>
                      <w:rFonts w:cs="Arial"/>
                      <w:sz w:val="18"/>
                      <w:szCs w:val="18"/>
                    </w:rPr>
                  </w:pPr>
                  <w:r>
                    <w:rPr>
                      <w:rFonts w:cs="Arial"/>
                      <w:sz w:val="18"/>
                      <w:szCs w:val="18"/>
                    </w:rPr>
                    <w:t>23.67</w:t>
                  </w:r>
                </w:p>
              </w:tc>
              <w:tc>
                <w:tcPr>
                  <w:tcW w:w="648" w:type="dxa"/>
                  <w:tcBorders>
                    <w:top w:val="nil"/>
                    <w:left w:val="nil"/>
                    <w:bottom w:val="single" w:color="000000" w:sz="4" w:space="0"/>
                    <w:right w:val="single" w:color="000000" w:sz="4" w:space="0"/>
                  </w:tcBorders>
                  <w:shd w:val="clear" w:color="000000" w:fill="FFFFFF"/>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4" w:space="0"/>
                  </w:tcBorders>
                  <w:shd w:val="clear" w:color="000000" w:fill="FFFFFF"/>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4" w:space="0"/>
                  </w:tcBorders>
                  <w:shd w:val="clear" w:color="000000" w:fill="FFFFFF"/>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4" w:space="0"/>
                  </w:tcBorders>
                  <w:shd w:val="clear" w:color="000000" w:fill="FFFFFF"/>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4" w:space="0"/>
                  </w:tcBorders>
                  <w:shd w:val="clear" w:color="000000" w:fill="FFFFFF"/>
                  <w:vAlign w:val="center"/>
                </w:tcPr>
                <w:p>
                  <w:pPr>
                    <w:widowControl/>
                    <w:jc w:val="right"/>
                    <w:rPr>
                      <w:rFonts w:cs="Arial"/>
                      <w:sz w:val="15"/>
                      <w:szCs w:val="15"/>
                    </w:rPr>
                  </w:pPr>
                  <w:r>
                    <w:rPr>
                      <w:rFonts w:hint="eastAsia" w:cs="Arial"/>
                      <w:sz w:val="15"/>
                      <w:szCs w:val="15"/>
                    </w:rPr>
                    <w:t>　</w:t>
                  </w:r>
                </w:p>
              </w:tc>
              <w:tc>
                <w:tcPr>
                  <w:tcW w:w="648" w:type="dxa"/>
                  <w:tcBorders>
                    <w:top w:val="nil"/>
                    <w:left w:val="nil"/>
                    <w:bottom w:val="single" w:color="000000" w:sz="4" w:space="0"/>
                    <w:right w:val="single" w:color="000000" w:sz="8" w:space="0"/>
                  </w:tcBorders>
                  <w:shd w:val="clear" w:color="000000" w:fill="FFFFFF"/>
                  <w:vAlign w:val="center"/>
                </w:tcPr>
                <w:p>
                  <w:pPr>
                    <w:widowControl/>
                    <w:jc w:val="right"/>
                    <w:rPr>
                      <w:rFonts w:cs="Arial"/>
                      <w:sz w:val="15"/>
                      <w:szCs w:val="15"/>
                    </w:rPr>
                  </w:pPr>
                  <w:r>
                    <w:rPr>
                      <w:rFonts w:hint="eastAsia" w:cs="Arial"/>
                      <w:sz w:val="15"/>
                      <w:szCs w:val="15"/>
                    </w:rPr>
                    <w:t>　</w:t>
                  </w:r>
                </w:p>
              </w:tc>
            </w:tr>
          </w:tbl>
          <w:p>
            <w:pPr>
              <w:widowControl/>
              <w:ind w:firstLine="8925" w:firstLineChars="5950"/>
              <w:rPr>
                <w:rFonts w:ascii="Arial" w:hAnsi="Arial" w:cs="Arial"/>
                <w:color w:val="000000"/>
                <w:kern w:val="0"/>
                <w:sz w:val="20"/>
                <w:szCs w:val="20"/>
              </w:rPr>
            </w:pPr>
            <w:r>
              <w:rPr>
                <w:rFonts w:hint="eastAsia" w:ascii="宋体" w:hAnsi="宋体" w:cs="Arial"/>
                <w:color w:val="000000"/>
                <w:kern w:val="0"/>
                <w:sz w:val="15"/>
                <w:szCs w:val="15"/>
              </w:rPr>
              <w:t>公开</w:t>
            </w:r>
            <w:r>
              <w:rPr>
                <w:rFonts w:ascii="宋体" w:hAnsi="宋体" w:cs="Arial"/>
                <w:color w:val="000000"/>
                <w:kern w:val="0"/>
                <w:sz w:val="15"/>
                <w:szCs w:val="15"/>
              </w:rPr>
              <w:t>02-1</w:t>
            </w:r>
            <w:r>
              <w:rPr>
                <w:rFonts w:hint="eastAsia" w:ascii="宋体" w:hAnsi="宋体" w:cs="Arial"/>
                <w:color w:val="000000"/>
                <w:kern w:val="0"/>
                <w:sz w:val="15"/>
                <w:szCs w:val="15"/>
              </w:rPr>
              <w:t>表</w:t>
            </w: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0" w:hRule="atLeast"/>
        </w:trPr>
        <w:tc>
          <w:tcPr>
            <w:tcW w:w="20632" w:type="dxa"/>
            <w:tcBorders>
              <w:top w:val="nil"/>
              <w:left w:val="nil"/>
              <w:bottom w:val="nil"/>
              <w:right w:val="nil"/>
            </w:tcBorders>
            <w:noWrap/>
            <w:vAlign w:val="bottom"/>
          </w:tcPr>
          <w:p>
            <w:pPr>
              <w:autoSpaceDE w:val="0"/>
              <w:autoSpaceDN w:val="0"/>
              <w:adjustRightInd w:val="0"/>
              <w:spacing w:line="560" w:lineRule="exact"/>
              <w:ind w:firstLine="1590" w:firstLineChars="495"/>
              <w:rPr>
                <w:rFonts w:ascii="仿宋" w:hAnsi="Times New Roman" w:eastAsia="仿宋" w:cs="仿宋"/>
                <w:b/>
                <w:sz w:val="32"/>
                <w:szCs w:val="32"/>
              </w:rPr>
            </w:pPr>
          </w:p>
          <w:p>
            <w:pPr>
              <w:autoSpaceDE w:val="0"/>
              <w:autoSpaceDN w:val="0"/>
              <w:adjustRightInd w:val="0"/>
              <w:spacing w:line="560" w:lineRule="exact"/>
              <w:ind w:firstLine="1590" w:firstLineChars="495"/>
              <w:rPr>
                <w:rFonts w:ascii="仿宋" w:hAnsi="Times New Roman" w:eastAsia="仿宋" w:cs="仿宋"/>
                <w:b/>
                <w:sz w:val="32"/>
                <w:szCs w:val="32"/>
              </w:rPr>
            </w:pPr>
            <w:r>
              <w:rPr>
                <w:rFonts w:ascii="仿宋" w:hAnsi="Times New Roman" w:eastAsia="仿宋" w:cs="仿宋"/>
                <w:b/>
                <w:sz w:val="32"/>
                <w:szCs w:val="32"/>
              </w:rPr>
              <w:t>2017</w:t>
            </w:r>
            <w:r>
              <w:rPr>
                <w:rFonts w:hint="eastAsia" w:ascii="仿宋" w:hAnsi="Times New Roman" w:eastAsia="仿宋" w:cs="仿宋"/>
                <w:b/>
                <w:sz w:val="32"/>
                <w:szCs w:val="32"/>
              </w:rPr>
              <w:t>年度部门收入决算总表</w:t>
            </w:r>
            <w:r>
              <w:rPr>
                <w:rFonts w:ascii="仿宋" w:hAnsi="Times New Roman" w:eastAsia="仿宋" w:cs="仿宋"/>
                <w:b/>
                <w:sz w:val="32"/>
                <w:szCs w:val="32"/>
              </w:rPr>
              <w:t>(</w:t>
            </w:r>
            <w:r>
              <w:rPr>
                <w:rFonts w:hint="eastAsia" w:ascii="仿宋" w:hAnsi="Times New Roman" w:eastAsia="仿宋" w:cs="仿宋"/>
                <w:b/>
                <w:sz w:val="32"/>
                <w:szCs w:val="32"/>
              </w:rPr>
              <w:t>分科目）</w:t>
            </w:r>
          </w:p>
          <w:p>
            <w:pPr>
              <w:widowControl/>
              <w:ind w:firstLine="9000" w:firstLineChars="6000"/>
              <w:jc w:val="left"/>
              <w:rPr>
                <w:rFonts w:ascii="宋体" w:cs="Arial"/>
                <w:color w:val="000000"/>
                <w:kern w:val="0"/>
                <w:sz w:val="20"/>
                <w:szCs w:val="20"/>
              </w:rPr>
            </w:pPr>
            <w:r>
              <w:rPr>
                <w:rFonts w:hint="eastAsia" w:ascii="宋体" w:hAnsi="宋体" w:cs="Arial"/>
                <w:color w:val="000000"/>
                <w:kern w:val="0"/>
                <w:sz w:val="15"/>
                <w:szCs w:val="15"/>
              </w:rPr>
              <w:t>公开</w:t>
            </w:r>
            <w:r>
              <w:rPr>
                <w:rFonts w:ascii="宋体" w:hAnsi="宋体" w:cs="Arial"/>
                <w:color w:val="000000"/>
                <w:kern w:val="0"/>
                <w:sz w:val="15"/>
                <w:szCs w:val="15"/>
              </w:rPr>
              <w:t>02-2</w:t>
            </w:r>
            <w:r>
              <w:rPr>
                <w:rFonts w:hint="eastAsia" w:ascii="宋体" w:hAnsi="宋体" w:cs="Arial"/>
                <w:color w:val="000000"/>
                <w:kern w:val="0"/>
                <w:sz w:val="15"/>
                <w:szCs w:val="15"/>
              </w:rPr>
              <w:t>表</w:t>
            </w: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center"/>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single" w:color="000000" w:sz="8" w:space="0"/>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bl>
    <w:tbl>
      <w:tblPr>
        <w:tblStyle w:val="5"/>
        <w:tblpPr w:leftFromText="180" w:rightFromText="180" w:vertAnchor="text" w:horzAnchor="margin" w:tblpXSpec="center" w:tblpY="1"/>
        <w:tblOverlap w:val="never"/>
        <w:tblW w:w="11305" w:type="dxa"/>
        <w:tblInd w:w="0" w:type="dxa"/>
        <w:tblLayout w:type="fixed"/>
        <w:tblCellMar>
          <w:top w:w="0" w:type="dxa"/>
          <w:left w:w="108" w:type="dxa"/>
          <w:bottom w:w="0" w:type="dxa"/>
          <w:right w:w="108" w:type="dxa"/>
        </w:tblCellMar>
      </w:tblPr>
      <w:tblGrid>
        <w:gridCol w:w="817"/>
        <w:gridCol w:w="15"/>
        <w:gridCol w:w="1597"/>
        <w:gridCol w:w="839"/>
        <w:gridCol w:w="565"/>
        <w:gridCol w:w="346"/>
        <w:gridCol w:w="893"/>
        <w:gridCol w:w="903"/>
        <w:gridCol w:w="322"/>
        <w:gridCol w:w="936"/>
        <w:gridCol w:w="835"/>
        <w:gridCol w:w="606"/>
        <w:gridCol w:w="606"/>
        <w:gridCol w:w="606"/>
        <w:gridCol w:w="665"/>
        <w:gridCol w:w="34"/>
        <w:gridCol w:w="447"/>
        <w:gridCol w:w="273"/>
      </w:tblGrid>
      <w:tr>
        <w:tblPrEx>
          <w:tblCellMar>
            <w:top w:w="0" w:type="dxa"/>
            <w:left w:w="108" w:type="dxa"/>
            <w:bottom w:w="0" w:type="dxa"/>
            <w:right w:w="108" w:type="dxa"/>
          </w:tblCellMar>
        </w:tblPrEx>
        <w:trPr>
          <w:gridAfter w:val="1"/>
          <w:wAfter w:w="273" w:type="dxa"/>
          <w:trHeight w:val="170" w:hRule="atLeast"/>
        </w:trPr>
        <w:tc>
          <w:tcPr>
            <w:tcW w:w="832" w:type="dxa"/>
            <w:gridSpan w:val="2"/>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3001" w:type="dxa"/>
            <w:gridSpan w:val="3"/>
            <w:tcBorders>
              <w:bottom w:val="single" w:color="auto" w:sz="4" w:space="0"/>
            </w:tcBorders>
          </w:tcPr>
          <w:p>
            <w:pPr>
              <w:widowControl/>
              <w:jc w:val="left"/>
              <w:rPr>
                <w:rFonts w:ascii="Arial" w:hAnsi="Arial" w:cs="Arial"/>
                <w:color w:val="000000"/>
                <w:kern w:val="0"/>
                <w:sz w:val="20"/>
                <w:szCs w:val="20"/>
              </w:rPr>
            </w:pPr>
            <w:r>
              <w:rPr>
                <w:rFonts w:hint="eastAsia" w:ascii="Arial" w:hAnsi="Arial" w:cs="Arial"/>
                <w:color w:val="000000"/>
                <w:kern w:val="0"/>
                <w:sz w:val="20"/>
                <w:szCs w:val="20"/>
              </w:rPr>
              <w:t>温州市红十字会</w:t>
            </w:r>
          </w:p>
        </w:tc>
        <w:tc>
          <w:tcPr>
            <w:tcW w:w="1239" w:type="dxa"/>
            <w:gridSpan w:val="2"/>
            <w:noWrap/>
            <w:vAlign w:val="bottom"/>
          </w:tcPr>
          <w:p>
            <w:pPr>
              <w:widowControl/>
              <w:jc w:val="left"/>
              <w:rPr>
                <w:rFonts w:ascii="Arial" w:hAnsi="Arial" w:cs="Arial"/>
                <w:color w:val="000000"/>
                <w:kern w:val="0"/>
                <w:sz w:val="20"/>
                <w:szCs w:val="20"/>
              </w:rPr>
            </w:pPr>
          </w:p>
        </w:tc>
        <w:tc>
          <w:tcPr>
            <w:tcW w:w="903" w:type="dxa"/>
            <w:noWrap/>
            <w:vAlign w:val="bottom"/>
          </w:tcPr>
          <w:p>
            <w:pPr>
              <w:widowControl/>
              <w:jc w:val="left"/>
              <w:rPr>
                <w:rFonts w:ascii="Arial" w:hAnsi="Arial" w:cs="Arial"/>
                <w:color w:val="000000"/>
                <w:kern w:val="0"/>
                <w:sz w:val="20"/>
                <w:szCs w:val="20"/>
              </w:rPr>
            </w:pPr>
          </w:p>
        </w:tc>
        <w:tc>
          <w:tcPr>
            <w:tcW w:w="1258" w:type="dxa"/>
            <w:gridSpan w:val="2"/>
            <w:noWrap/>
            <w:vAlign w:val="bottom"/>
          </w:tcPr>
          <w:p>
            <w:pPr>
              <w:widowControl/>
              <w:jc w:val="left"/>
              <w:rPr>
                <w:rFonts w:ascii="Arial" w:hAnsi="Arial" w:cs="Arial"/>
                <w:color w:val="000000"/>
                <w:kern w:val="0"/>
                <w:sz w:val="20"/>
                <w:szCs w:val="20"/>
              </w:rPr>
            </w:pPr>
          </w:p>
        </w:tc>
        <w:tc>
          <w:tcPr>
            <w:tcW w:w="835" w:type="dxa"/>
            <w:noWrap/>
            <w:vAlign w:val="bottom"/>
          </w:tcPr>
          <w:p>
            <w:pPr>
              <w:widowControl/>
              <w:jc w:val="left"/>
              <w:rPr>
                <w:rFonts w:ascii="Arial" w:hAnsi="Arial" w:cs="Arial"/>
                <w:color w:val="000000"/>
                <w:kern w:val="0"/>
                <w:sz w:val="20"/>
                <w:szCs w:val="20"/>
              </w:rPr>
            </w:pPr>
          </w:p>
        </w:tc>
        <w:tc>
          <w:tcPr>
            <w:tcW w:w="606" w:type="dxa"/>
            <w:noWrap/>
            <w:vAlign w:val="bottom"/>
          </w:tcPr>
          <w:p>
            <w:pPr>
              <w:widowControl/>
              <w:jc w:val="left"/>
              <w:rPr>
                <w:rFonts w:ascii="Arial" w:hAnsi="Arial" w:cs="Arial"/>
                <w:color w:val="000000"/>
                <w:kern w:val="0"/>
                <w:sz w:val="20"/>
                <w:szCs w:val="20"/>
              </w:rPr>
            </w:pPr>
          </w:p>
        </w:tc>
        <w:tc>
          <w:tcPr>
            <w:tcW w:w="606" w:type="dxa"/>
            <w:noWrap/>
            <w:vAlign w:val="bottom"/>
          </w:tcPr>
          <w:p>
            <w:pPr>
              <w:widowControl/>
              <w:jc w:val="left"/>
              <w:rPr>
                <w:rFonts w:ascii="Arial" w:hAnsi="Arial" w:cs="Arial"/>
                <w:color w:val="000000"/>
                <w:kern w:val="0"/>
                <w:sz w:val="20"/>
                <w:szCs w:val="20"/>
              </w:rPr>
            </w:pPr>
          </w:p>
        </w:tc>
        <w:tc>
          <w:tcPr>
            <w:tcW w:w="1752" w:type="dxa"/>
            <w:gridSpan w:val="4"/>
            <w:tcBorders>
              <w:bottom w:val="single" w:color="000000" w:sz="8" w:space="0"/>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410" w:hRule="atLeast"/>
        </w:trPr>
        <w:tc>
          <w:tcPr>
            <w:tcW w:w="817"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w:t>
            </w:r>
          </w:p>
          <w:p>
            <w:pPr>
              <w:widowControl/>
              <w:jc w:val="center"/>
              <w:rPr>
                <w:rFonts w:ascii="宋体" w:cs="Arial"/>
                <w:color w:val="000000"/>
                <w:kern w:val="0"/>
                <w:sz w:val="18"/>
                <w:szCs w:val="18"/>
              </w:rPr>
            </w:pPr>
            <w:r>
              <w:rPr>
                <w:rFonts w:hint="eastAsia" w:ascii="宋体" w:hAnsi="宋体" w:cs="Arial"/>
                <w:color w:val="000000"/>
                <w:kern w:val="0"/>
                <w:sz w:val="18"/>
                <w:szCs w:val="18"/>
              </w:rPr>
              <w:t>编码</w:t>
            </w:r>
          </w:p>
        </w:tc>
        <w:tc>
          <w:tcPr>
            <w:tcW w:w="1612"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839"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911" w:type="dxa"/>
            <w:gridSpan w:val="2"/>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3054" w:type="dxa"/>
            <w:gridSpan w:val="4"/>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835"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606"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606"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其他收入</w:t>
            </w:r>
          </w:p>
        </w:tc>
        <w:tc>
          <w:tcPr>
            <w:tcW w:w="606"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665"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754" w:type="dxa"/>
            <w:gridSpan w:val="3"/>
            <w:vMerge w:val="restart"/>
            <w:tcBorders>
              <w:bottom w:val="single" w:color="000000" w:sz="4" w:space="0"/>
              <w:right w:val="single" w:color="000000" w:sz="8"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562" w:hRule="atLeast"/>
        </w:trPr>
        <w:tc>
          <w:tcPr>
            <w:tcW w:w="817"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Arial"/>
                <w:color w:val="000000"/>
                <w:kern w:val="0"/>
                <w:sz w:val="18"/>
                <w:szCs w:val="18"/>
              </w:rPr>
            </w:pPr>
          </w:p>
        </w:tc>
        <w:tc>
          <w:tcPr>
            <w:tcW w:w="1612"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p>
        </w:tc>
        <w:tc>
          <w:tcPr>
            <w:tcW w:w="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p>
        </w:tc>
        <w:tc>
          <w:tcPr>
            <w:tcW w:w="911" w:type="dxa"/>
            <w:gridSpan w:val="2"/>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93" w:type="dxa"/>
            <w:tcBorders>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225"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936" w:type="dxa"/>
            <w:tcBorders>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w:t>
            </w:r>
          </w:p>
        </w:tc>
        <w:tc>
          <w:tcPr>
            <w:tcW w:w="835"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06"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06"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06" w:type="dxa"/>
            <w:vMerge w:val="continue"/>
            <w:tcBorders>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65" w:type="dxa"/>
            <w:vMerge w:val="continue"/>
            <w:tcBorders>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54" w:type="dxa"/>
            <w:gridSpan w:val="3"/>
            <w:vMerge w:val="continue"/>
            <w:tcBorders>
              <w:bottom w:val="single" w:color="000000" w:sz="4" w:space="0"/>
              <w:right w:val="single" w:color="000000" w:sz="8"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194" w:hRule="atLeast"/>
        </w:trPr>
        <w:tc>
          <w:tcPr>
            <w:tcW w:w="2429" w:type="dxa"/>
            <w:gridSpan w:val="3"/>
            <w:tcBorders>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839" w:type="dxa"/>
            <w:tcBorders>
              <w:top w:val="single" w:color="auto" w:sz="4"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911" w:type="dxa"/>
            <w:gridSpan w:val="2"/>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893" w:type="dxa"/>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225" w:type="dxa"/>
            <w:gridSpan w:val="2"/>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936" w:type="dxa"/>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835" w:type="dxa"/>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606" w:type="dxa"/>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606" w:type="dxa"/>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606" w:type="dxa"/>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699" w:type="dxa"/>
            <w:gridSpan w:val="2"/>
            <w:tcBorders>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r>
              <w:rPr>
                <w:rFonts w:ascii="宋体" w:cs="Arial"/>
                <w:color w:val="000000"/>
                <w:kern w:val="0"/>
                <w:sz w:val="18"/>
                <w:szCs w:val="18"/>
              </w:rPr>
              <w:t>0</w:t>
            </w:r>
          </w:p>
        </w:tc>
        <w:tc>
          <w:tcPr>
            <w:tcW w:w="720" w:type="dxa"/>
            <w:gridSpan w:val="2"/>
            <w:tcBorders>
              <w:bottom w:val="single" w:color="000000" w:sz="4" w:space="0"/>
              <w:right w:val="single" w:color="000000" w:sz="8"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11</w:t>
            </w:r>
          </w:p>
        </w:tc>
      </w:tr>
      <w:tr>
        <w:tblPrEx>
          <w:tblCellMar>
            <w:top w:w="0" w:type="dxa"/>
            <w:left w:w="108" w:type="dxa"/>
            <w:bottom w:w="0" w:type="dxa"/>
            <w:right w:w="108" w:type="dxa"/>
          </w:tblCellMar>
        </w:tblPrEx>
        <w:trPr>
          <w:trHeight w:val="194" w:hRule="atLeast"/>
        </w:trPr>
        <w:tc>
          <w:tcPr>
            <w:tcW w:w="2429" w:type="dxa"/>
            <w:gridSpan w:val="3"/>
            <w:tcBorders>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839" w:type="dxa"/>
            <w:tcBorders>
              <w:bottom w:val="single" w:color="auto" w:sz="4" w:space="0"/>
              <w:right w:val="single" w:color="000000" w:sz="4" w:space="0"/>
            </w:tcBorders>
            <w:shd w:val="clear" w:color="000000" w:fill="FFFFFF"/>
            <w:noWrap/>
            <w:vAlign w:val="center"/>
          </w:tcPr>
          <w:p>
            <w:pPr>
              <w:jc w:val="center"/>
              <w:rPr>
                <w:rFonts w:cs="Arial"/>
                <w:sz w:val="18"/>
                <w:szCs w:val="18"/>
              </w:rPr>
            </w:pPr>
            <w:r>
              <w:rPr>
                <w:rFonts w:cs="Arial"/>
                <w:sz w:val="18"/>
                <w:szCs w:val="18"/>
              </w:rPr>
              <w:t>427.56</w:t>
            </w:r>
          </w:p>
        </w:tc>
        <w:tc>
          <w:tcPr>
            <w:tcW w:w="911" w:type="dxa"/>
            <w:gridSpan w:val="2"/>
            <w:tcBorders>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4.11</w:t>
            </w:r>
          </w:p>
        </w:tc>
        <w:tc>
          <w:tcPr>
            <w:tcW w:w="893" w:type="dxa"/>
            <w:tcBorders>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423.45</w:t>
            </w:r>
          </w:p>
        </w:tc>
        <w:tc>
          <w:tcPr>
            <w:tcW w:w="1225" w:type="dxa"/>
            <w:gridSpan w:val="2"/>
            <w:tcBorders>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399.78</w:t>
            </w:r>
          </w:p>
        </w:tc>
        <w:tc>
          <w:tcPr>
            <w:tcW w:w="936" w:type="dxa"/>
            <w:tcBorders>
              <w:bottom w:val="single" w:color="000000" w:sz="4" w:space="0"/>
              <w:right w:val="single" w:color="000000" w:sz="4" w:space="0"/>
            </w:tcBorders>
            <w:shd w:val="clear" w:color="000000" w:fill="FFFFFF"/>
            <w:noWrap/>
            <w:vAlign w:val="center"/>
          </w:tcPr>
          <w:p>
            <w:pPr>
              <w:jc w:val="center"/>
              <w:rPr>
                <w:rFonts w:cs="Arial"/>
                <w:sz w:val="18"/>
                <w:szCs w:val="18"/>
              </w:rPr>
            </w:pPr>
            <w:r>
              <w:rPr>
                <w:rFonts w:cs="Arial"/>
                <w:sz w:val="18"/>
                <w:szCs w:val="18"/>
              </w:rPr>
              <w:t>23.67</w:t>
            </w:r>
          </w:p>
        </w:tc>
        <w:tc>
          <w:tcPr>
            <w:tcW w:w="835" w:type="dxa"/>
            <w:tcBorders>
              <w:bottom w:val="single" w:color="000000" w:sz="4" w:space="0"/>
              <w:right w:val="single" w:color="000000" w:sz="4" w:space="0"/>
            </w:tcBorders>
            <w:shd w:val="clear" w:color="000000" w:fill="FFFFFF"/>
            <w:noWrap/>
            <w:vAlign w:val="center"/>
          </w:tcPr>
          <w:p>
            <w:pPr>
              <w:jc w:val="right"/>
              <w:rPr>
                <w:rFonts w:ascii="宋体" w:cs="Arial"/>
                <w:sz w:val="20"/>
                <w:szCs w:val="20"/>
              </w:rPr>
            </w:pPr>
          </w:p>
        </w:tc>
        <w:tc>
          <w:tcPr>
            <w:tcW w:w="606" w:type="dxa"/>
            <w:tcBorders>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06" w:type="dxa"/>
            <w:tcBorders>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06" w:type="dxa"/>
            <w:tcBorders>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99" w:type="dxa"/>
            <w:gridSpan w:val="2"/>
            <w:tcBorders>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20" w:type="dxa"/>
            <w:gridSpan w:val="2"/>
            <w:tcBorders>
              <w:bottom w:val="single" w:color="000000" w:sz="4" w:space="0"/>
              <w:right w:val="single" w:color="000000" w:sz="8"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94" w:hRule="atLeast"/>
        </w:trPr>
        <w:tc>
          <w:tcPr>
            <w:tcW w:w="817" w:type="dxa"/>
            <w:tcBorders>
              <w:left w:val="single" w:color="000000" w:sz="8" w:space="0"/>
              <w:bottom w:val="single" w:color="000000"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cs="Arial"/>
                <w:b/>
                <w:color w:val="000000"/>
                <w:kern w:val="0"/>
                <w:sz w:val="13"/>
                <w:szCs w:val="13"/>
              </w:rPr>
              <w:t>208</w:t>
            </w:r>
            <w:r>
              <w:rPr>
                <w:rFonts w:hint="eastAsia" w:ascii="宋体" w:cs="Arial"/>
                <w:b/>
                <w:color w:val="000000"/>
                <w:kern w:val="0"/>
                <w:sz w:val="13"/>
                <w:szCs w:val="13"/>
              </w:rPr>
              <w:t>　</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cs="Arial"/>
                <w:b/>
                <w:color w:val="000000"/>
                <w:kern w:val="0"/>
                <w:sz w:val="13"/>
                <w:szCs w:val="13"/>
              </w:rPr>
              <w:t>社会保障和就业支出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bCs/>
                <w:sz w:val="18"/>
                <w:szCs w:val="18"/>
              </w:rPr>
            </w:pPr>
            <w:r>
              <w:rPr>
                <w:rFonts w:cs="Arial"/>
                <w:b/>
                <w:bCs/>
                <w:sz w:val="18"/>
                <w:szCs w:val="18"/>
              </w:rPr>
              <w:t>381.40</w:t>
            </w:r>
          </w:p>
        </w:tc>
        <w:tc>
          <w:tcPr>
            <w:tcW w:w="911" w:type="dxa"/>
            <w:gridSpan w:val="2"/>
            <w:tcBorders>
              <w:left w:val="single" w:color="auto" w:sz="4" w:space="0"/>
              <w:bottom w:val="single" w:color="000000"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4.11</w:t>
            </w:r>
          </w:p>
        </w:tc>
        <w:tc>
          <w:tcPr>
            <w:tcW w:w="893" w:type="dxa"/>
            <w:tcBorders>
              <w:bottom w:val="single" w:color="000000"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377.29</w:t>
            </w:r>
          </w:p>
        </w:tc>
        <w:tc>
          <w:tcPr>
            <w:tcW w:w="1225" w:type="dxa"/>
            <w:gridSpan w:val="2"/>
            <w:tcBorders>
              <w:bottom w:val="single" w:color="000000"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377.29</w:t>
            </w:r>
          </w:p>
        </w:tc>
        <w:tc>
          <w:tcPr>
            <w:tcW w:w="936" w:type="dxa"/>
            <w:tcBorders>
              <w:bottom w:val="single" w:color="000000" w:sz="4" w:space="0"/>
              <w:right w:val="single" w:color="000000" w:sz="4" w:space="0"/>
            </w:tcBorders>
            <w:shd w:val="clear" w:color="000000" w:fill="FFFFFF"/>
            <w:vAlign w:val="center"/>
          </w:tcPr>
          <w:p>
            <w:pPr>
              <w:widowControl/>
              <w:jc w:val="center"/>
              <w:rPr>
                <w:rFonts w:ascii="宋体" w:cs="Arial"/>
                <w:color w:val="000000"/>
                <w:kern w:val="0"/>
                <w:sz w:val="18"/>
                <w:szCs w:val="18"/>
              </w:rPr>
            </w:pPr>
          </w:p>
        </w:tc>
        <w:tc>
          <w:tcPr>
            <w:tcW w:w="835"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99"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720" w:type="dxa"/>
            <w:gridSpan w:val="2"/>
            <w:tcBorders>
              <w:bottom w:val="single" w:color="000000" w:sz="4" w:space="0"/>
              <w:right w:val="single" w:color="000000" w:sz="8"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r>
      <w:tr>
        <w:tblPrEx>
          <w:tblCellMar>
            <w:top w:w="0" w:type="dxa"/>
            <w:left w:w="108" w:type="dxa"/>
            <w:bottom w:w="0" w:type="dxa"/>
            <w:right w:w="108" w:type="dxa"/>
          </w:tblCellMar>
        </w:tblPrEx>
        <w:trPr>
          <w:trHeight w:val="194" w:hRule="atLeast"/>
        </w:trPr>
        <w:tc>
          <w:tcPr>
            <w:tcW w:w="817" w:type="dxa"/>
            <w:tcBorders>
              <w:left w:val="single" w:color="000000" w:sz="8" w:space="0"/>
              <w:bottom w:val="single" w:color="000000"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cs="Arial"/>
                <w:b/>
                <w:color w:val="000000"/>
                <w:kern w:val="0"/>
                <w:sz w:val="13"/>
                <w:szCs w:val="13"/>
              </w:rPr>
              <w:t>20805</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cs="Arial"/>
                <w:b/>
                <w:color w:val="000000"/>
                <w:kern w:val="0"/>
                <w:sz w:val="13"/>
                <w:szCs w:val="13"/>
              </w:rPr>
              <w:t>行政事业单位离退休</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bCs/>
                <w:sz w:val="18"/>
                <w:szCs w:val="18"/>
              </w:rPr>
            </w:pPr>
            <w:r>
              <w:rPr>
                <w:rFonts w:cs="Arial"/>
                <w:b/>
                <w:bCs/>
                <w:sz w:val="18"/>
                <w:szCs w:val="18"/>
              </w:rPr>
              <w:t>0.54</w:t>
            </w:r>
          </w:p>
        </w:tc>
        <w:tc>
          <w:tcPr>
            <w:tcW w:w="911" w:type="dxa"/>
            <w:gridSpan w:val="2"/>
            <w:tcBorders>
              <w:left w:val="single" w:color="auto" w:sz="4" w:space="0"/>
              <w:bottom w:val="single" w:color="000000" w:sz="4" w:space="0"/>
              <w:right w:val="single" w:color="000000" w:sz="4" w:space="0"/>
            </w:tcBorders>
            <w:shd w:val="clear" w:color="000000" w:fill="FFFFFF"/>
            <w:vAlign w:val="center"/>
          </w:tcPr>
          <w:p>
            <w:pPr>
              <w:jc w:val="center"/>
              <w:rPr>
                <w:rFonts w:ascii="宋体" w:cs="Arial"/>
                <w:b/>
                <w:bCs/>
                <w:sz w:val="18"/>
                <w:szCs w:val="18"/>
              </w:rPr>
            </w:pPr>
          </w:p>
        </w:tc>
        <w:tc>
          <w:tcPr>
            <w:tcW w:w="893" w:type="dxa"/>
            <w:tcBorders>
              <w:bottom w:val="single" w:color="000000"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0.54</w:t>
            </w:r>
          </w:p>
        </w:tc>
        <w:tc>
          <w:tcPr>
            <w:tcW w:w="1225" w:type="dxa"/>
            <w:gridSpan w:val="2"/>
            <w:tcBorders>
              <w:bottom w:val="single" w:color="000000"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0.54</w:t>
            </w:r>
          </w:p>
        </w:tc>
        <w:tc>
          <w:tcPr>
            <w:tcW w:w="936" w:type="dxa"/>
            <w:tcBorders>
              <w:bottom w:val="single" w:color="000000" w:sz="4" w:space="0"/>
              <w:right w:val="single" w:color="000000" w:sz="4" w:space="0"/>
            </w:tcBorders>
            <w:shd w:val="clear" w:color="000000" w:fill="FFFFFF"/>
            <w:vAlign w:val="center"/>
          </w:tcPr>
          <w:p>
            <w:pPr>
              <w:widowControl/>
              <w:jc w:val="center"/>
              <w:rPr>
                <w:rFonts w:ascii="宋体" w:cs="Arial"/>
                <w:color w:val="000000"/>
                <w:kern w:val="0"/>
                <w:sz w:val="18"/>
                <w:szCs w:val="18"/>
              </w:rPr>
            </w:pPr>
          </w:p>
        </w:tc>
        <w:tc>
          <w:tcPr>
            <w:tcW w:w="835"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99"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720" w:type="dxa"/>
            <w:gridSpan w:val="2"/>
            <w:tcBorders>
              <w:bottom w:val="single" w:color="000000" w:sz="4" w:space="0"/>
              <w:right w:val="single" w:color="000000" w:sz="8"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r>
      <w:tr>
        <w:tblPrEx>
          <w:tblCellMar>
            <w:top w:w="0" w:type="dxa"/>
            <w:left w:w="108" w:type="dxa"/>
            <w:bottom w:w="0" w:type="dxa"/>
            <w:right w:w="108" w:type="dxa"/>
          </w:tblCellMar>
        </w:tblPrEx>
        <w:trPr>
          <w:trHeight w:val="194" w:hRule="atLeast"/>
        </w:trPr>
        <w:tc>
          <w:tcPr>
            <w:tcW w:w="817" w:type="dxa"/>
            <w:tcBorders>
              <w:left w:val="single" w:color="000000" w:sz="8" w:space="0"/>
              <w:bottom w:val="single" w:color="000000" w:sz="4" w:space="0"/>
              <w:right w:val="single" w:color="auto" w:sz="4" w:space="0"/>
            </w:tcBorders>
            <w:shd w:val="clear" w:color="FFFFFF" w:fill="FFFFFF"/>
            <w:noWrap/>
            <w:vAlign w:val="center"/>
          </w:tcPr>
          <w:p>
            <w:pPr>
              <w:rPr>
                <w:rFonts w:ascii="宋体" w:cs="Arial"/>
                <w:color w:val="000000"/>
                <w:kern w:val="0"/>
                <w:sz w:val="13"/>
                <w:szCs w:val="13"/>
              </w:rPr>
            </w:pPr>
            <w:r>
              <w:rPr>
                <w:rFonts w:hint="eastAsia" w:ascii="宋体" w:cs="Arial"/>
                <w:color w:val="000000"/>
                <w:kern w:val="0"/>
                <w:sz w:val="13"/>
                <w:szCs w:val="13"/>
              </w:rPr>
              <w:t>　</w:t>
            </w:r>
            <w:r>
              <w:rPr>
                <w:rFonts w:ascii="宋体" w:cs="Arial"/>
                <w:color w:val="000000"/>
                <w:kern w:val="0"/>
                <w:sz w:val="13"/>
                <w:szCs w:val="13"/>
              </w:rPr>
              <w:t>2080505</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ind w:left="31680" w:hanging="260" w:hangingChars="200"/>
              <w:rPr>
                <w:rFonts w:ascii="宋体" w:cs="Arial"/>
                <w:color w:val="000000"/>
                <w:kern w:val="0"/>
                <w:sz w:val="13"/>
                <w:szCs w:val="13"/>
              </w:rPr>
            </w:pPr>
            <w:r>
              <w:rPr>
                <w:rFonts w:hint="eastAsia" w:ascii="宋体" w:cs="Arial"/>
                <w:color w:val="000000"/>
                <w:kern w:val="0"/>
                <w:sz w:val="13"/>
                <w:szCs w:val="13"/>
              </w:rPr>
              <w:t>机关事业单位基本养老全保险缴费支出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0.38</w:t>
            </w:r>
          </w:p>
        </w:tc>
        <w:tc>
          <w:tcPr>
            <w:tcW w:w="911" w:type="dxa"/>
            <w:gridSpan w:val="2"/>
            <w:tcBorders>
              <w:left w:val="single" w:color="auto" w:sz="4" w:space="0"/>
              <w:bottom w:val="single" w:color="000000" w:sz="4" w:space="0"/>
              <w:right w:val="single" w:color="000000" w:sz="4" w:space="0"/>
            </w:tcBorders>
            <w:shd w:val="clear" w:color="000000" w:fill="FFFFFF"/>
            <w:vAlign w:val="center"/>
          </w:tcPr>
          <w:p>
            <w:pPr>
              <w:jc w:val="center"/>
              <w:rPr>
                <w:rFonts w:ascii="宋体" w:cs="Arial"/>
                <w:sz w:val="18"/>
                <w:szCs w:val="18"/>
              </w:rPr>
            </w:pPr>
          </w:p>
        </w:tc>
        <w:tc>
          <w:tcPr>
            <w:tcW w:w="893" w:type="dxa"/>
            <w:tcBorders>
              <w:bottom w:val="single" w:color="000000"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0.38</w:t>
            </w:r>
          </w:p>
        </w:tc>
        <w:tc>
          <w:tcPr>
            <w:tcW w:w="1225" w:type="dxa"/>
            <w:gridSpan w:val="2"/>
            <w:tcBorders>
              <w:bottom w:val="single" w:color="000000"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0.38</w:t>
            </w:r>
          </w:p>
        </w:tc>
        <w:tc>
          <w:tcPr>
            <w:tcW w:w="936" w:type="dxa"/>
            <w:tcBorders>
              <w:bottom w:val="single" w:color="000000" w:sz="4" w:space="0"/>
              <w:right w:val="single" w:color="000000" w:sz="4" w:space="0"/>
            </w:tcBorders>
            <w:shd w:val="clear" w:color="000000" w:fill="FFFFFF"/>
            <w:vAlign w:val="center"/>
          </w:tcPr>
          <w:p>
            <w:pPr>
              <w:widowControl/>
              <w:jc w:val="center"/>
              <w:rPr>
                <w:rFonts w:ascii="宋体" w:cs="Arial"/>
                <w:color w:val="000000"/>
                <w:kern w:val="0"/>
                <w:sz w:val="18"/>
                <w:szCs w:val="18"/>
              </w:rPr>
            </w:pPr>
          </w:p>
        </w:tc>
        <w:tc>
          <w:tcPr>
            <w:tcW w:w="835"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99"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720" w:type="dxa"/>
            <w:gridSpan w:val="2"/>
            <w:tcBorders>
              <w:bottom w:val="single" w:color="000000" w:sz="4" w:space="0"/>
              <w:right w:val="single" w:color="000000" w:sz="8"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r>
      <w:tr>
        <w:tblPrEx>
          <w:tblCellMar>
            <w:top w:w="0" w:type="dxa"/>
            <w:left w:w="108" w:type="dxa"/>
            <w:bottom w:w="0" w:type="dxa"/>
            <w:right w:w="108" w:type="dxa"/>
          </w:tblCellMar>
        </w:tblPrEx>
        <w:trPr>
          <w:trHeight w:val="194" w:hRule="atLeast"/>
        </w:trPr>
        <w:tc>
          <w:tcPr>
            <w:tcW w:w="817" w:type="dxa"/>
            <w:tcBorders>
              <w:left w:val="single" w:color="000000" w:sz="8" w:space="0"/>
              <w:bottom w:val="single" w:color="000000" w:sz="4" w:space="0"/>
              <w:right w:val="single" w:color="auto" w:sz="4" w:space="0"/>
            </w:tcBorders>
            <w:shd w:val="clear" w:color="FFFFFF" w:fill="FFFFFF"/>
            <w:noWrap/>
            <w:vAlign w:val="center"/>
          </w:tcPr>
          <w:p>
            <w:pPr>
              <w:rPr>
                <w:rFonts w:ascii="宋体" w:cs="Arial"/>
                <w:color w:val="000000"/>
                <w:kern w:val="0"/>
                <w:sz w:val="13"/>
                <w:szCs w:val="13"/>
              </w:rPr>
            </w:pPr>
            <w:r>
              <w:rPr>
                <w:rFonts w:hint="eastAsia" w:ascii="宋体" w:cs="Arial"/>
                <w:color w:val="000000"/>
                <w:kern w:val="0"/>
                <w:sz w:val="13"/>
                <w:szCs w:val="13"/>
              </w:rPr>
              <w:t>　</w:t>
            </w:r>
            <w:r>
              <w:rPr>
                <w:rFonts w:ascii="宋体" w:cs="Arial"/>
                <w:color w:val="000000"/>
                <w:kern w:val="0"/>
                <w:sz w:val="13"/>
                <w:szCs w:val="13"/>
              </w:rPr>
              <w:t>2080506</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ind w:left="31680" w:hanging="260" w:hangingChars="200"/>
              <w:rPr>
                <w:rFonts w:ascii="宋体" w:cs="Arial"/>
                <w:color w:val="000000"/>
                <w:kern w:val="0"/>
                <w:sz w:val="13"/>
                <w:szCs w:val="13"/>
              </w:rPr>
            </w:pPr>
            <w:r>
              <w:rPr>
                <w:rFonts w:hint="eastAsia" w:ascii="宋体" w:cs="Arial"/>
                <w:color w:val="000000"/>
                <w:kern w:val="0"/>
                <w:sz w:val="13"/>
                <w:szCs w:val="13"/>
              </w:rPr>
              <w:t>机关事业单位职业年金缴费支出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0.16</w:t>
            </w:r>
          </w:p>
        </w:tc>
        <w:tc>
          <w:tcPr>
            <w:tcW w:w="911" w:type="dxa"/>
            <w:gridSpan w:val="2"/>
            <w:tcBorders>
              <w:left w:val="single" w:color="auto" w:sz="4" w:space="0"/>
              <w:bottom w:val="single" w:color="000000" w:sz="4" w:space="0"/>
              <w:right w:val="single" w:color="000000" w:sz="4" w:space="0"/>
            </w:tcBorders>
            <w:shd w:val="clear" w:color="000000" w:fill="FFFFFF"/>
            <w:vAlign w:val="center"/>
          </w:tcPr>
          <w:p>
            <w:pPr>
              <w:jc w:val="center"/>
              <w:rPr>
                <w:rFonts w:ascii="宋体" w:cs="Arial"/>
                <w:sz w:val="18"/>
                <w:szCs w:val="18"/>
              </w:rPr>
            </w:pPr>
          </w:p>
        </w:tc>
        <w:tc>
          <w:tcPr>
            <w:tcW w:w="893" w:type="dxa"/>
            <w:tcBorders>
              <w:bottom w:val="single" w:color="000000"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0.16</w:t>
            </w:r>
          </w:p>
        </w:tc>
        <w:tc>
          <w:tcPr>
            <w:tcW w:w="1225" w:type="dxa"/>
            <w:gridSpan w:val="2"/>
            <w:tcBorders>
              <w:bottom w:val="single" w:color="000000"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0.16</w:t>
            </w:r>
          </w:p>
        </w:tc>
        <w:tc>
          <w:tcPr>
            <w:tcW w:w="936" w:type="dxa"/>
            <w:tcBorders>
              <w:bottom w:val="single" w:color="000000" w:sz="4" w:space="0"/>
              <w:right w:val="single" w:color="000000" w:sz="4" w:space="0"/>
            </w:tcBorders>
            <w:shd w:val="clear" w:color="000000" w:fill="FFFFFF"/>
            <w:vAlign w:val="center"/>
          </w:tcPr>
          <w:p>
            <w:pPr>
              <w:widowControl/>
              <w:jc w:val="center"/>
              <w:rPr>
                <w:rFonts w:ascii="宋体" w:cs="Arial"/>
                <w:color w:val="000000"/>
                <w:kern w:val="0"/>
                <w:sz w:val="18"/>
                <w:szCs w:val="18"/>
              </w:rPr>
            </w:pPr>
          </w:p>
        </w:tc>
        <w:tc>
          <w:tcPr>
            <w:tcW w:w="835"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99"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720" w:type="dxa"/>
            <w:gridSpan w:val="2"/>
            <w:tcBorders>
              <w:bottom w:val="single" w:color="000000" w:sz="4" w:space="0"/>
              <w:right w:val="single" w:color="000000" w:sz="8"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r>
      <w:tr>
        <w:tblPrEx>
          <w:tblCellMar>
            <w:top w:w="0" w:type="dxa"/>
            <w:left w:w="108" w:type="dxa"/>
            <w:bottom w:w="0" w:type="dxa"/>
            <w:right w:w="108" w:type="dxa"/>
          </w:tblCellMar>
        </w:tblPrEx>
        <w:trPr>
          <w:trHeight w:val="127" w:hRule="atLeast"/>
        </w:trPr>
        <w:tc>
          <w:tcPr>
            <w:tcW w:w="817" w:type="dxa"/>
            <w:tcBorders>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hint="eastAsia" w:ascii="宋体" w:cs="Arial"/>
                <w:color w:val="000000"/>
                <w:kern w:val="0"/>
                <w:sz w:val="13"/>
                <w:szCs w:val="13"/>
              </w:rPr>
              <w:t>　</w:t>
            </w:r>
            <w:r>
              <w:rPr>
                <w:rFonts w:ascii="宋体" w:cs="Arial"/>
                <w:b/>
                <w:color w:val="000000"/>
                <w:kern w:val="0"/>
                <w:sz w:val="13"/>
                <w:szCs w:val="13"/>
              </w:rPr>
              <w:t>20816</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cs="Arial"/>
                <w:b/>
                <w:color w:val="000000"/>
                <w:kern w:val="0"/>
                <w:sz w:val="13"/>
                <w:szCs w:val="13"/>
              </w:rPr>
              <w:t>红十字事业</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Arial"/>
                <w:b/>
                <w:bCs/>
                <w:sz w:val="18"/>
                <w:szCs w:val="18"/>
              </w:rPr>
            </w:pPr>
            <w:r>
              <w:rPr>
                <w:rFonts w:cs="Arial"/>
                <w:b/>
                <w:bCs/>
                <w:sz w:val="18"/>
                <w:szCs w:val="18"/>
              </w:rPr>
              <w:t>380.86</w:t>
            </w:r>
          </w:p>
        </w:tc>
        <w:tc>
          <w:tcPr>
            <w:tcW w:w="911" w:type="dxa"/>
            <w:gridSpan w:val="2"/>
            <w:tcBorders>
              <w:left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4.11</w:t>
            </w:r>
          </w:p>
        </w:tc>
        <w:tc>
          <w:tcPr>
            <w:tcW w:w="893" w:type="dxa"/>
            <w:tcBorders>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376.75</w:t>
            </w:r>
          </w:p>
        </w:tc>
        <w:tc>
          <w:tcPr>
            <w:tcW w:w="1225" w:type="dxa"/>
            <w:gridSpan w:val="2"/>
            <w:tcBorders>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376.75</w:t>
            </w:r>
          </w:p>
        </w:tc>
        <w:tc>
          <w:tcPr>
            <w:tcW w:w="936" w:type="dxa"/>
            <w:tcBorders>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bottom w:val="single" w:color="auto" w:sz="4" w:space="0"/>
              <w:right w:val="single" w:color="000000" w:sz="8" w:space="0"/>
            </w:tcBorders>
            <w:shd w:val="clear" w:color="000000" w:fill="FFFFFF"/>
            <w:vAlign w:val="center"/>
          </w:tcPr>
          <w:p>
            <w:pPr>
              <w:widowControl/>
              <w:jc w:val="right"/>
              <w:rPr>
                <w:rFonts w:ascii="宋体" w:cs="Arial"/>
                <w:color w:val="000000"/>
                <w:kern w:val="0"/>
                <w:sz w:val="11"/>
                <w:szCs w:val="11"/>
              </w:rPr>
            </w:pPr>
          </w:p>
        </w:tc>
      </w:tr>
      <w:tr>
        <w:tblPrEx>
          <w:tblCellMar>
            <w:top w:w="0" w:type="dxa"/>
            <w:left w:w="108" w:type="dxa"/>
            <w:bottom w:w="0" w:type="dxa"/>
            <w:right w:w="108" w:type="dxa"/>
          </w:tblCellMar>
        </w:tblPrEx>
        <w:trPr>
          <w:trHeight w:val="133"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cs="Arial"/>
                <w:color w:val="000000"/>
                <w:kern w:val="0"/>
                <w:sz w:val="13"/>
                <w:szCs w:val="13"/>
              </w:rPr>
              <w:t>2081601</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kern w:val="0"/>
                <w:sz w:val="13"/>
                <w:szCs w:val="13"/>
              </w:rPr>
            </w:pPr>
            <w:r>
              <w:rPr>
                <w:rFonts w:hint="eastAsia" w:ascii="宋体" w:cs="Arial"/>
                <w:color w:val="000000"/>
                <w:kern w:val="0"/>
                <w:sz w:val="13"/>
                <w:szCs w:val="13"/>
              </w:rPr>
              <w:t>行政运行</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201.16</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0.09</w:t>
            </w: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201.07</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201.07</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52"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cs="Arial"/>
                <w:color w:val="000000"/>
                <w:kern w:val="0"/>
                <w:sz w:val="13"/>
                <w:szCs w:val="13"/>
              </w:rPr>
              <w:t>2081602</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kern w:val="0"/>
                <w:sz w:val="13"/>
                <w:szCs w:val="13"/>
              </w:rPr>
            </w:pPr>
            <w:r>
              <w:rPr>
                <w:rFonts w:hint="eastAsia" w:ascii="宋体" w:cs="Arial"/>
                <w:color w:val="000000"/>
                <w:kern w:val="0"/>
                <w:sz w:val="13"/>
                <w:szCs w:val="13"/>
              </w:rPr>
              <w:t>一般行政管理事务</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29.72</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4.02</w:t>
            </w: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25.70</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25.70</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52"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cs="Arial"/>
                <w:color w:val="000000"/>
                <w:kern w:val="0"/>
                <w:sz w:val="13"/>
                <w:szCs w:val="13"/>
              </w:rPr>
              <w:t>2081699</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kern w:val="0"/>
                <w:sz w:val="13"/>
                <w:szCs w:val="13"/>
              </w:rPr>
            </w:pPr>
            <w:r>
              <w:rPr>
                <w:rFonts w:hint="eastAsia" w:ascii="宋体" w:cs="Arial"/>
                <w:color w:val="000000"/>
                <w:kern w:val="0"/>
                <w:sz w:val="13"/>
                <w:szCs w:val="13"/>
              </w:rPr>
              <w:t>其他红十字事业支出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149.98</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149.98</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149.98</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77"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cs="Arial"/>
                <w:b/>
                <w:color w:val="000000"/>
                <w:kern w:val="0"/>
                <w:sz w:val="13"/>
                <w:szCs w:val="13"/>
              </w:rPr>
              <w:t>210</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cs="Arial"/>
                <w:b/>
                <w:color w:val="000000"/>
                <w:kern w:val="0"/>
                <w:sz w:val="13"/>
                <w:szCs w:val="13"/>
              </w:rPr>
              <w:t>医疗卫生与计划生育支出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bCs/>
                <w:sz w:val="18"/>
                <w:szCs w:val="18"/>
              </w:rPr>
            </w:pPr>
            <w:r>
              <w:rPr>
                <w:rFonts w:cs="Arial"/>
                <w:b/>
                <w:bCs/>
                <w:sz w:val="18"/>
                <w:szCs w:val="18"/>
              </w:rPr>
              <w:t>8.09</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8.09</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8.09</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77"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cs="Arial"/>
                <w:b/>
                <w:color w:val="000000"/>
                <w:kern w:val="0"/>
                <w:sz w:val="13"/>
                <w:szCs w:val="13"/>
              </w:rPr>
              <w:t>21011</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cs="Arial"/>
                <w:b/>
                <w:color w:val="000000"/>
                <w:kern w:val="0"/>
                <w:sz w:val="13"/>
                <w:szCs w:val="13"/>
              </w:rPr>
              <w:t>行政事业单位医疗</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bCs/>
                <w:sz w:val="18"/>
                <w:szCs w:val="18"/>
              </w:rPr>
            </w:pPr>
            <w:r>
              <w:rPr>
                <w:rFonts w:cs="Arial"/>
                <w:b/>
                <w:bCs/>
                <w:sz w:val="18"/>
                <w:szCs w:val="18"/>
              </w:rPr>
              <w:t>8.09</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8.09</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8.09</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95"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cs="Arial"/>
                <w:color w:val="000000"/>
                <w:kern w:val="0"/>
                <w:sz w:val="13"/>
                <w:szCs w:val="13"/>
              </w:rPr>
              <w:t>2101101</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kern w:val="0"/>
                <w:sz w:val="13"/>
                <w:szCs w:val="13"/>
              </w:rPr>
            </w:pPr>
            <w:r>
              <w:rPr>
                <w:rFonts w:hint="eastAsia" w:ascii="宋体" w:cs="Arial"/>
                <w:color w:val="000000"/>
                <w:kern w:val="0"/>
                <w:sz w:val="13"/>
                <w:szCs w:val="13"/>
              </w:rPr>
              <w:t>行政单位医疗</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8.09</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8.09</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8.09</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49"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cs="Arial"/>
                <w:b/>
                <w:color w:val="000000"/>
                <w:kern w:val="0"/>
                <w:sz w:val="13"/>
                <w:szCs w:val="13"/>
              </w:rPr>
              <w:t>221</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cs="Arial"/>
                <w:b/>
                <w:color w:val="000000"/>
                <w:kern w:val="0"/>
                <w:sz w:val="13"/>
                <w:szCs w:val="13"/>
              </w:rPr>
              <w:t>住房保障支出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bCs/>
                <w:sz w:val="18"/>
                <w:szCs w:val="18"/>
              </w:rPr>
            </w:pPr>
            <w:r>
              <w:rPr>
                <w:rFonts w:cs="Arial"/>
                <w:b/>
                <w:bCs/>
                <w:sz w:val="18"/>
                <w:szCs w:val="18"/>
              </w:rPr>
              <w:t>14.40</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14.40</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14.40</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57"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cs="Arial"/>
                <w:b/>
                <w:color w:val="000000"/>
                <w:kern w:val="0"/>
                <w:sz w:val="13"/>
                <w:szCs w:val="13"/>
              </w:rPr>
              <w:t>22102</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cs="Arial"/>
                <w:b/>
                <w:color w:val="000000"/>
                <w:kern w:val="0"/>
                <w:sz w:val="13"/>
                <w:szCs w:val="13"/>
              </w:rPr>
              <w:t>住房改革支出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bCs/>
                <w:sz w:val="18"/>
                <w:szCs w:val="18"/>
              </w:rPr>
            </w:pPr>
            <w:r>
              <w:rPr>
                <w:rFonts w:cs="Arial"/>
                <w:b/>
                <w:bCs/>
                <w:sz w:val="18"/>
                <w:szCs w:val="18"/>
              </w:rPr>
              <w:t>14.40</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14.40</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14.40</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83"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cs="Arial"/>
                <w:color w:val="000000"/>
                <w:kern w:val="0"/>
                <w:sz w:val="13"/>
                <w:szCs w:val="13"/>
              </w:rPr>
              <w:t>2210201</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住房公积金</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14.22</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14.22</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14.22</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r>
              <w:rPr>
                <w:rFonts w:hint="eastAsia" w:ascii="宋体" w:hAnsi="宋体" w:cs="Arial"/>
                <w:color w:val="000000"/>
                <w:kern w:val="0"/>
                <w:sz w:val="11"/>
                <w:szCs w:val="11"/>
              </w:rPr>
              <w:t>　</w:t>
            </w: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r>
              <w:rPr>
                <w:rFonts w:hint="eastAsia" w:ascii="宋体" w:hAnsi="宋体" w:cs="Arial"/>
                <w:color w:val="000000"/>
                <w:kern w:val="0"/>
                <w:sz w:val="11"/>
                <w:szCs w:val="11"/>
              </w:rPr>
              <w:t>　</w:t>
            </w: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r>
              <w:rPr>
                <w:rFonts w:hint="eastAsia" w:ascii="宋体" w:hAnsi="宋体" w:cs="Arial"/>
                <w:color w:val="000000"/>
                <w:kern w:val="0"/>
                <w:sz w:val="11"/>
                <w:szCs w:val="11"/>
              </w:rPr>
              <w:t>　</w:t>
            </w:r>
          </w:p>
        </w:tc>
      </w:tr>
      <w:tr>
        <w:tblPrEx>
          <w:tblCellMar>
            <w:top w:w="0" w:type="dxa"/>
            <w:left w:w="108" w:type="dxa"/>
            <w:bottom w:w="0" w:type="dxa"/>
            <w:right w:w="108" w:type="dxa"/>
          </w:tblCellMar>
        </w:tblPrEx>
        <w:trPr>
          <w:trHeight w:val="183"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cs="Arial"/>
                <w:color w:val="000000"/>
                <w:kern w:val="0"/>
                <w:sz w:val="13"/>
                <w:szCs w:val="13"/>
              </w:rPr>
              <w:t>2210203</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购房补贴</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0.18</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0.18</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sz w:val="18"/>
                <w:szCs w:val="18"/>
              </w:rPr>
            </w:pPr>
            <w:r>
              <w:rPr>
                <w:rFonts w:cs="Arial"/>
                <w:sz w:val="18"/>
                <w:szCs w:val="18"/>
              </w:rPr>
              <w:t>0.18</w:t>
            </w: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color w:val="000000"/>
                <w:kern w:val="0"/>
                <w:sz w:val="18"/>
                <w:szCs w:val="18"/>
              </w:rPr>
            </w:pP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83"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cs="Arial"/>
                <w:b/>
                <w:color w:val="000000"/>
                <w:kern w:val="0"/>
                <w:sz w:val="13"/>
                <w:szCs w:val="13"/>
              </w:rPr>
              <w:t>229</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其他支出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bCs/>
                <w:sz w:val="18"/>
                <w:szCs w:val="18"/>
              </w:rPr>
            </w:pPr>
            <w:r>
              <w:rPr>
                <w:rFonts w:cs="Arial"/>
                <w:b/>
                <w:bCs/>
                <w:sz w:val="18"/>
                <w:szCs w:val="18"/>
              </w:rPr>
              <w:t>23.67</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p>
        </w:tc>
        <w:tc>
          <w:tcPr>
            <w:tcW w:w="893"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23.67</w:t>
            </w:r>
          </w:p>
        </w:tc>
        <w:tc>
          <w:tcPr>
            <w:tcW w:w="1225" w:type="dxa"/>
            <w:gridSpan w:val="2"/>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p>
        </w:tc>
        <w:tc>
          <w:tcPr>
            <w:tcW w:w="936" w:type="dxa"/>
            <w:tcBorders>
              <w:top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23.67</w:t>
            </w:r>
          </w:p>
        </w:tc>
        <w:tc>
          <w:tcPr>
            <w:tcW w:w="835"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auto"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auto"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190" w:hRule="atLeast"/>
        </w:trPr>
        <w:tc>
          <w:tcPr>
            <w:tcW w:w="817"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cs="Arial"/>
                <w:b/>
                <w:color w:val="000000"/>
                <w:kern w:val="0"/>
                <w:sz w:val="13"/>
                <w:szCs w:val="13"/>
              </w:rPr>
              <w:t>22904</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其他政府性基金及对应专项债务收入安排的支出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b/>
                <w:bCs/>
                <w:sz w:val="18"/>
                <w:szCs w:val="18"/>
              </w:rPr>
            </w:pPr>
            <w:r>
              <w:rPr>
                <w:rFonts w:cs="Arial"/>
                <w:b/>
                <w:bCs/>
                <w:sz w:val="18"/>
                <w:szCs w:val="18"/>
              </w:rPr>
              <w:t>23.67</w:t>
            </w:r>
          </w:p>
        </w:tc>
        <w:tc>
          <w:tcPr>
            <w:tcW w:w="911"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jc w:val="center"/>
              <w:rPr>
                <w:rFonts w:ascii="宋体" w:cs="Arial"/>
                <w:b/>
                <w:bCs/>
                <w:sz w:val="18"/>
                <w:szCs w:val="18"/>
              </w:rPr>
            </w:pPr>
          </w:p>
        </w:tc>
        <w:tc>
          <w:tcPr>
            <w:tcW w:w="893" w:type="dxa"/>
            <w:tcBorders>
              <w:top w:val="single" w:color="auto" w:sz="4" w:space="0"/>
              <w:bottom w:val="single" w:color="000000"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23.67</w:t>
            </w:r>
          </w:p>
        </w:tc>
        <w:tc>
          <w:tcPr>
            <w:tcW w:w="1225" w:type="dxa"/>
            <w:gridSpan w:val="2"/>
            <w:tcBorders>
              <w:top w:val="single" w:color="auto" w:sz="4" w:space="0"/>
              <w:bottom w:val="single" w:color="000000" w:sz="4" w:space="0"/>
              <w:right w:val="single" w:color="000000" w:sz="4" w:space="0"/>
            </w:tcBorders>
            <w:shd w:val="clear" w:color="000000" w:fill="FFFFFF"/>
            <w:vAlign w:val="center"/>
          </w:tcPr>
          <w:p>
            <w:pPr>
              <w:jc w:val="center"/>
              <w:rPr>
                <w:rFonts w:ascii="宋体" w:cs="Arial"/>
                <w:b/>
                <w:bCs/>
                <w:sz w:val="18"/>
                <w:szCs w:val="18"/>
              </w:rPr>
            </w:pPr>
          </w:p>
        </w:tc>
        <w:tc>
          <w:tcPr>
            <w:tcW w:w="936" w:type="dxa"/>
            <w:tcBorders>
              <w:top w:val="single" w:color="auto" w:sz="4" w:space="0"/>
              <w:bottom w:val="single" w:color="000000" w:sz="4" w:space="0"/>
              <w:right w:val="single" w:color="000000" w:sz="4" w:space="0"/>
            </w:tcBorders>
            <w:shd w:val="clear" w:color="000000" w:fill="FFFFFF"/>
            <w:vAlign w:val="center"/>
          </w:tcPr>
          <w:p>
            <w:pPr>
              <w:jc w:val="center"/>
              <w:rPr>
                <w:rFonts w:ascii="宋体" w:cs="Arial"/>
                <w:b/>
                <w:bCs/>
                <w:sz w:val="18"/>
                <w:szCs w:val="18"/>
              </w:rPr>
            </w:pPr>
            <w:r>
              <w:rPr>
                <w:rFonts w:cs="Arial"/>
                <w:b/>
                <w:bCs/>
                <w:sz w:val="18"/>
                <w:szCs w:val="18"/>
              </w:rPr>
              <w:t>23.67</w:t>
            </w:r>
          </w:p>
        </w:tc>
        <w:tc>
          <w:tcPr>
            <w:tcW w:w="835" w:type="dxa"/>
            <w:tcBorders>
              <w:top w:val="single" w:color="auto" w:sz="4" w:space="0"/>
              <w:bottom w:val="single" w:color="000000"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000000"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000000"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06" w:type="dxa"/>
            <w:tcBorders>
              <w:top w:val="single" w:color="auto" w:sz="4" w:space="0"/>
              <w:bottom w:val="single" w:color="000000" w:sz="4" w:space="0"/>
              <w:right w:val="single" w:color="000000" w:sz="4" w:space="0"/>
            </w:tcBorders>
            <w:shd w:val="clear" w:color="000000" w:fill="FFFFFF"/>
            <w:vAlign w:val="center"/>
          </w:tcPr>
          <w:p>
            <w:pPr>
              <w:jc w:val="right"/>
              <w:rPr>
                <w:rFonts w:ascii="宋体" w:cs="Arial"/>
                <w:color w:val="000000"/>
                <w:kern w:val="0"/>
                <w:sz w:val="11"/>
                <w:szCs w:val="11"/>
              </w:rPr>
            </w:pPr>
          </w:p>
        </w:tc>
        <w:tc>
          <w:tcPr>
            <w:tcW w:w="699" w:type="dxa"/>
            <w:gridSpan w:val="2"/>
            <w:tcBorders>
              <w:top w:val="single" w:color="auto" w:sz="4" w:space="0"/>
              <w:bottom w:val="single" w:color="000000" w:sz="4" w:space="0"/>
              <w:right w:val="single" w:color="000000" w:sz="4" w:space="0"/>
            </w:tcBorders>
            <w:shd w:val="clear" w:color="000000" w:fill="FFFFFF"/>
            <w:vAlign w:val="center"/>
          </w:tcPr>
          <w:p>
            <w:pPr>
              <w:jc w:val="right"/>
              <w:rPr>
                <w:rFonts w:ascii="宋体" w:cs="Arial"/>
                <w:color w:val="000000"/>
                <w:kern w:val="0"/>
                <w:sz w:val="11"/>
                <w:szCs w:val="11"/>
              </w:rPr>
            </w:pPr>
          </w:p>
        </w:tc>
        <w:tc>
          <w:tcPr>
            <w:tcW w:w="720" w:type="dxa"/>
            <w:gridSpan w:val="2"/>
            <w:tcBorders>
              <w:top w:val="single" w:color="auto" w:sz="4" w:space="0"/>
              <w:bottom w:val="single" w:color="000000" w:sz="4" w:space="0"/>
              <w:right w:val="single" w:color="000000" w:sz="8" w:space="0"/>
            </w:tcBorders>
            <w:shd w:val="clear" w:color="000000" w:fill="FFFFFF"/>
            <w:vAlign w:val="center"/>
          </w:tcPr>
          <w:p>
            <w:pPr>
              <w:jc w:val="right"/>
              <w:rPr>
                <w:rFonts w:ascii="宋体" w:cs="Arial"/>
                <w:color w:val="000000"/>
                <w:kern w:val="0"/>
                <w:sz w:val="11"/>
                <w:szCs w:val="11"/>
              </w:rPr>
            </w:pPr>
          </w:p>
        </w:tc>
      </w:tr>
      <w:tr>
        <w:tblPrEx>
          <w:tblCellMar>
            <w:top w:w="0" w:type="dxa"/>
            <w:left w:w="108" w:type="dxa"/>
            <w:bottom w:w="0" w:type="dxa"/>
            <w:right w:w="108" w:type="dxa"/>
          </w:tblCellMar>
        </w:tblPrEx>
        <w:trPr>
          <w:trHeight w:val="373" w:hRule="atLeast"/>
        </w:trPr>
        <w:tc>
          <w:tcPr>
            <w:tcW w:w="817" w:type="dxa"/>
            <w:tcBorders>
              <w:top w:val="single" w:color="auto" w:sz="4" w:space="0"/>
              <w:left w:val="single" w:color="000000" w:sz="8" w:space="0"/>
              <w:bottom w:val="single" w:color="000000" w:sz="8" w:space="0"/>
              <w:right w:val="single" w:color="auto" w:sz="4" w:space="0"/>
            </w:tcBorders>
            <w:shd w:val="clear" w:color="FFFFFF" w:fill="FFFFFF"/>
            <w:noWrap/>
            <w:vAlign w:val="center"/>
          </w:tcPr>
          <w:p>
            <w:pPr>
              <w:rPr>
                <w:rFonts w:ascii="宋体" w:cs="Arial"/>
                <w:color w:val="000000"/>
                <w:kern w:val="0"/>
                <w:sz w:val="13"/>
                <w:szCs w:val="13"/>
              </w:rPr>
            </w:pPr>
            <w:r>
              <w:rPr>
                <w:rFonts w:hint="eastAsia" w:ascii="宋体" w:cs="Arial"/>
                <w:color w:val="000000"/>
                <w:kern w:val="0"/>
                <w:sz w:val="13"/>
                <w:szCs w:val="13"/>
              </w:rPr>
              <w:t>　</w:t>
            </w:r>
            <w:r>
              <w:rPr>
                <w:rFonts w:ascii="宋体" w:cs="Arial"/>
                <w:color w:val="000000"/>
                <w:kern w:val="0"/>
                <w:sz w:val="13"/>
                <w:szCs w:val="13"/>
              </w:rPr>
              <w:t>2290400</w:t>
            </w:r>
          </w:p>
        </w:tc>
        <w:tc>
          <w:tcPr>
            <w:tcW w:w="161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kern w:val="0"/>
                <w:sz w:val="13"/>
                <w:szCs w:val="13"/>
              </w:rPr>
            </w:pPr>
            <w:r>
              <w:rPr>
                <w:rFonts w:hint="eastAsia" w:ascii="宋体" w:cs="Arial"/>
                <w:color w:val="000000"/>
                <w:kern w:val="0"/>
                <w:sz w:val="13"/>
                <w:szCs w:val="13"/>
              </w:rPr>
              <w:t>其他政府性基金及对应专项债务收入安排的支出</w:t>
            </w:r>
          </w:p>
        </w:tc>
        <w:tc>
          <w:tcPr>
            <w:tcW w:w="83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cs="Arial"/>
                <w:sz w:val="18"/>
                <w:szCs w:val="18"/>
              </w:rPr>
            </w:pPr>
            <w:r>
              <w:rPr>
                <w:rFonts w:cs="Arial"/>
                <w:sz w:val="18"/>
                <w:szCs w:val="18"/>
              </w:rPr>
              <w:t>23.67</w:t>
            </w:r>
          </w:p>
        </w:tc>
        <w:tc>
          <w:tcPr>
            <w:tcW w:w="911" w:type="dxa"/>
            <w:gridSpan w:val="2"/>
            <w:tcBorders>
              <w:top w:val="single" w:color="auto" w:sz="4" w:space="0"/>
              <w:left w:val="single" w:color="auto" w:sz="4" w:space="0"/>
              <w:bottom w:val="single" w:color="000000" w:sz="8" w:space="0"/>
              <w:right w:val="single" w:color="000000" w:sz="4" w:space="0"/>
            </w:tcBorders>
            <w:shd w:val="clear" w:color="000000" w:fill="FFFFFF"/>
            <w:vAlign w:val="center"/>
          </w:tcPr>
          <w:p>
            <w:pPr>
              <w:jc w:val="center"/>
              <w:rPr>
                <w:rFonts w:ascii="宋体" w:cs="Arial"/>
                <w:sz w:val="18"/>
                <w:szCs w:val="18"/>
              </w:rPr>
            </w:pPr>
          </w:p>
        </w:tc>
        <w:tc>
          <w:tcPr>
            <w:tcW w:w="893" w:type="dxa"/>
            <w:tcBorders>
              <w:bottom w:val="single" w:color="000000" w:sz="8" w:space="0"/>
              <w:right w:val="single" w:color="000000" w:sz="4" w:space="0"/>
            </w:tcBorders>
            <w:shd w:val="clear" w:color="000000" w:fill="FFFFFF"/>
            <w:vAlign w:val="center"/>
          </w:tcPr>
          <w:p>
            <w:pPr>
              <w:jc w:val="center"/>
              <w:rPr>
                <w:rFonts w:ascii="宋体" w:cs="Arial"/>
                <w:sz w:val="18"/>
                <w:szCs w:val="18"/>
              </w:rPr>
            </w:pPr>
            <w:r>
              <w:rPr>
                <w:rFonts w:cs="Arial"/>
                <w:sz w:val="18"/>
                <w:szCs w:val="18"/>
              </w:rPr>
              <w:t>23.67</w:t>
            </w:r>
          </w:p>
        </w:tc>
        <w:tc>
          <w:tcPr>
            <w:tcW w:w="1225" w:type="dxa"/>
            <w:gridSpan w:val="2"/>
            <w:tcBorders>
              <w:bottom w:val="single" w:color="000000" w:sz="8" w:space="0"/>
              <w:right w:val="single" w:color="000000" w:sz="4" w:space="0"/>
            </w:tcBorders>
            <w:shd w:val="clear" w:color="000000" w:fill="FFFFFF"/>
            <w:vAlign w:val="center"/>
          </w:tcPr>
          <w:p>
            <w:pPr>
              <w:jc w:val="center"/>
              <w:rPr>
                <w:rFonts w:ascii="宋体" w:cs="Arial"/>
                <w:sz w:val="18"/>
                <w:szCs w:val="18"/>
              </w:rPr>
            </w:pPr>
          </w:p>
        </w:tc>
        <w:tc>
          <w:tcPr>
            <w:tcW w:w="936" w:type="dxa"/>
            <w:tcBorders>
              <w:bottom w:val="single" w:color="000000" w:sz="8" w:space="0"/>
              <w:right w:val="single" w:color="000000" w:sz="4" w:space="0"/>
            </w:tcBorders>
            <w:shd w:val="clear" w:color="000000" w:fill="FFFFFF"/>
            <w:vAlign w:val="center"/>
          </w:tcPr>
          <w:p>
            <w:pPr>
              <w:jc w:val="center"/>
              <w:rPr>
                <w:rFonts w:ascii="宋体" w:cs="Arial"/>
                <w:sz w:val="18"/>
                <w:szCs w:val="18"/>
              </w:rPr>
            </w:pPr>
            <w:r>
              <w:rPr>
                <w:rFonts w:cs="Arial"/>
                <w:sz w:val="18"/>
                <w:szCs w:val="18"/>
              </w:rPr>
              <w:t>23.67</w:t>
            </w:r>
          </w:p>
        </w:tc>
        <w:tc>
          <w:tcPr>
            <w:tcW w:w="835" w:type="dxa"/>
            <w:tcBorders>
              <w:bottom w:val="single" w:color="000000" w:sz="8"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8"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8"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06" w:type="dxa"/>
            <w:tcBorders>
              <w:bottom w:val="single" w:color="000000" w:sz="8"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699" w:type="dxa"/>
            <w:gridSpan w:val="2"/>
            <w:tcBorders>
              <w:bottom w:val="single" w:color="000000" w:sz="8" w:space="0"/>
              <w:right w:val="single" w:color="000000" w:sz="4"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c>
          <w:tcPr>
            <w:tcW w:w="720" w:type="dxa"/>
            <w:gridSpan w:val="2"/>
            <w:tcBorders>
              <w:bottom w:val="single" w:color="000000" w:sz="8" w:space="0"/>
              <w:right w:val="single" w:color="000000" w:sz="8" w:space="0"/>
            </w:tcBorders>
            <w:shd w:val="clear" w:color="000000" w:fill="FFFFFF"/>
            <w:vAlign w:val="center"/>
          </w:tcPr>
          <w:p>
            <w:pPr>
              <w:widowControl/>
              <w:jc w:val="right"/>
              <w:rPr>
                <w:rFonts w:ascii="宋体" w:cs="Arial"/>
                <w:color w:val="000000"/>
                <w:kern w:val="0"/>
                <w:sz w:val="11"/>
                <w:szCs w:val="11"/>
              </w:rPr>
            </w:pPr>
            <w:r>
              <w:rPr>
                <w:rFonts w:hint="eastAsia" w:ascii="宋体" w:hAnsi="宋体" w:cs="Arial"/>
                <w:color w:val="000000"/>
                <w:kern w:val="0"/>
                <w:sz w:val="11"/>
                <w:szCs w:val="11"/>
              </w:rPr>
              <w:t>　</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ascii="仿宋" w:hAnsi="Times New Roman" w:eastAsia="仿宋" w:cs="仿宋"/>
          <w:b/>
          <w:sz w:val="32"/>
          <w:szCs w:val="32"/>
        </w:rPr>
        <w:t>2017</w:t>
      </w:r>
      <w:r>
        <w:rPr>
          <w:rFonts w:hint="eastAsia" w:ascii="仿宋" w:hAnsi="Times New Roman" w:eastAsia="仿宋" w:cs="仿宋"/>
          <w:b/>
          <w:sz w:val="32"/>
          <w:szCs w:val="32"/>
        </w:rPr>
        <w:t>年度部门支出决算总表（分单位）</w:t>
      </w:r>
    </w:p>
    <w:tbl>
      <w:tblPr>
        <w:tblStyle w:val="5"/>
        <w:tblW w:w="16336" w:type="dxa"/>
        <w:tblInd w:w="93" w:type="dxa"/>
        <w:tblLayout w:type="autofit"/>
        <w:tblCellMar>
          <w:top w:w="0" w:type="dxa"/>
          <w:left w:w="108" w:type="dxa"/>
          <w:bottom w:w="0" w:type="dxa"/>
          <w:right w:w="108" w:type="dxa"/>
        </w:tblCellMar>
      </w:tblPr>
      <w:tblGrid>
        <w:gridCol w:w="9792"/>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noWrap/>
            <w:vAlign w:val="bottom"/>
          </w:tcPr>
          <w:tbl>
            <w:tblPr>
              <w:tblStyle w:val="5"/>
              <w:tblW w:w="9575" w:type="dxa"/>
              <w:tblInd w:w="0" w:type="dxa"/>
              <w:tblLayout w:type="autofit"/>
              <w:tblCellMar>
                <w:top w:w="0" w:type="dxa"/>
                <w:left w:w="108" w:type="dxa"/>
                <w:bottom w:w="0" w:type="dxa"/>
                <w:right w:w="108" w:type="dxa"/>
              </w:tblCellMar>
            </w:tblPr>
            <w:tblGrid>
              <w:gridCol w:w="1706"/>
              <w:gridCol w:w="1090"/>
              <w:gridCol w:w="1088"/>
              <w:gridCol w:w="1104"/>
              <w:gridCol w:w="254"/>
              <w:gridCol w:w="91"/>
              <w:gridCol w:w="1009"/>
              <w:gridCol w:w="1078"/>
              <w:gridCol w:w="1211"/>
              <w:gridCol w:w="945"/>
            </w:tblGrid>
            <w:tr>
              <w:tblPrEx>
                <w:tblCellMar>
                  <w:top w:w="0" w:type="dxa"/>
                  <w:left w:w="108" w:type="dxa"/>
                  <w:bottom w:w="0" w:type="dxa"/>
                  <w:right w:w="108" w:type="dxa"/>
                </w:tblCellMar>
              </w:tblPrEx>
              <w:trPr>
                <w:trHeight w:val="263" w:hRule="atLeast"/>
              </w:trPr>
              <w:tc>
                <w:tcPr>
                  <w:tcW w:w="170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9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192"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54"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98"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78"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156" w:type="dxa"/>
                  <w:gridSpan w:val="2"/>
                  <w:tcBorders>
                    <w:top w:val="nil"/>
                    <w:left w:val="nil"/>
                    <w:bottom w:val="nil"/>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9" w:hRule="atLeast"/>
              </w:trPr>
              <w:tc>
                <w:tcPr>
                  <w:tcW w:w="4988" w:type="dxa"/>
                  <w:gridSpan w:val="4"/>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部门：</w:t>
                  </w:r>
                  <w:r>
                    <w:rPr>
                      <w:rFonts w:hint="eastAsia" w:ascii="宋体" w:cs="Arial"/>
                      <w:color w:val="000000"/>
                      <w:kern w:val="0"/>
                      <w:sz w:val="20"/>
                      <w:szCs w:val="20"/>
                    </w:rPr>
                    <w:t>温州市红十字会</w:t>
                  </w:r>
                </w:p>
              </w:tc>
              <w:tc>
                <w:tcPr>
                  <w:tcW w:w="254" w:type="dxa"/>
                  <w:tcBorders>
                    <w:top w:val="nil"/>
                    <w:left w:val="nil"/>
                    <w:bottom w:val="nil"/>
                    <w:right w:val="nil"/>
                  </w:tcBorders>
                  <w:shd w:val="clear" w:color="000000" w:fill="FFFFFF"/>
                  <w:noWrap/>
                  <w:vAlign w:val="bottom"/>
                </w:tcPr>
                <w:p>
                  <w:pPr>
                    <w:widowControl/>
                    <w:jc w:val="center"/>
                    <w:rPr>
                      <w:rFonts w:ascii="宋体" w:cs="Arial"/>
                      <w:color w:val="000000"/>
                      <w:kern w:val="0"/>
                      <w:sz w:val="20"/>
                      <w:szCs w:val="20"/>
                    </w:rPr>
                  </w:pPr>
                  <w:r>
                    <w:rPr>
                      <w:rFonts w:hint="eastAsia" w:ascii="宋体" w:hAnsi="宋体" w:cs="Arial"/>
                      <w:color w:val="000000"/>
                      <w:kern w:val="0"/>
                      <w:sz w:val="20"/>
                      <w:szCs w:val="20"/>
                    </w:rPr>
                    <w:t>　</w:t>
                  </w:r>
                </w:p>
              </w:tc>
              <w:tc>
                <w:tcPr>
                  <w:tcW w:w="1098"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1078"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156" w:type="dxa"/>
                  <w:gridSpan w:val="2"/>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443" w:hRule="atLeast"/>
              </w:trPr>
              <w:tc>
                <w:tcPr>
                  <w:tcW w:w="1706"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109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2536" w:type="dxa"/>
                  <w:gridSpan w:val="4"/>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1009"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07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事业单位经营支出</w:t>
                  </w:r>
                </w:p>
              </w:tc>
              <w:tc>
                <w:tcPr>
                  <w:tcW w:w="121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对附属单位补助支出</w:t>
                  </w:r>
                </w:p>
              </w:tc>
              <w:tc>
                <w:tcPr>
                  <w:tcW w:w="94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348" w:hRule="atLeast"/>
              </w:trPr>
              <w:tc>
                <w:tcPr>
                  <w:tcW w:w="1706"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8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人员支出</w:t>
                  </w:r>
                </w:p>
              </w:tc>
              <w:tc>
                <w:tcPr>
                  <w:tcW w:w="1449"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日常公用支出</w:t>
                  </w:r>
                </w:p>
              </w:tc>
              <w:tc>
                <w:tcPr>
                  <w:tcW w:w="100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7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21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94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18" w:hRule="atLeast"/>
              </w:trPr>
              <w:tc>
                <w:tcPr>
                  <w:tcW w:w="17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0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08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449"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00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107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121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94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r>
            <w:tr>
              <w:tblPrEx>
                <w:tblCellMar>
                  <w:top w:w="0" w:type="dxa"/>
                  <w:left w:w="108" w:type="dxa"/>
                  <w:bottom w:w="0" w:type="dxa"/>
                  <w:right w:w="108" w:type="dxa"/>
                </w:tblCellMar>
              </w:tblPrEx>
              <w:trPr>
                <w:trHeight w:val="318" w:hRule="atLeast"/>
              </w:trPr>
              <w:tc>
                <w:tcPr>
                  <w:tcW w:w="17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合</w:t>
                  </w:r>
                  <w:r>
                    <w:rPr>
                      <w:rFonts w:ascii="宋体" w:hAnsi="宋体" w:cs="Arial"/>
                      <w:color w:val="000000"/>
                      <w:kern w:val="0"/>
                      <w:sz w:val="16"/>
                      <w:szCs w:val="16"/>
                    </w:rPr>
                    <w:t xml:space="preserve">  </w:t>
                  </w:r>
                  <w:r>
                    <w:rPr>
                      <w:rFonts w:hint="eastAsia" w:ascii="宋体" w:hAnsi="宋体" w:cs="Arial"/>
                      <w:color w:val="000000"/>
                      <w:kern w:val="0"/>
                      <w:sz w:val="16"/>
                      <w:szCs w:val="16"/>
                    </w:rPr>
                    <w:t>计</w:t>
                  </w:r>
                </w:p>
              </w:tc>
              <w:tc>
                <w:tcPr>
                  <w:tcW w:w="109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423.45</w:t>
                  </w:r>
                </w:p>
              </w:tc>
              <w:tc>
                <w:tcPr>
                  <w:tcW w:w="1088"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220.25</w:t>
                  </w:r>
                </w:p>
              </w:tc>
              <w:tc>
                <w:tcPr>
                  <w:tcW w:w="1449" w:type="dxa"/>
                  <w:gridSpan w:val="3"/>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27.52</w:t>
                  </w:r>
                </w:p>
              </w:tc>
              <w:tc>
                <w:tcPr>
                  <w:tcW w:w="100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175.68</w:t>
                  </w:r>
                </w:p>
              </w:tc>
              <w:tc>
                <w:tcPr>
                  <w:tcW w:w="1078" w:type="dxa"/>
                  <w:tcBorders>
                    <w:top w:val="nil"/>
                    <w:left w:val="nil"/>
                    <w:bottom w:val="single" w:color="000000" w:sz="4" w:space="0"/>
                    <w:right w:val="single" w:color="000000" w:sz="4" w:space="0"/>
                  </w:tcBorders>
                  <w:shd w:val="clear" w:color="000000" w:fill="FFFFFF"/>
                  <w:noWrap/>
                  <w:vAlign w:val="center"/>
                </w:tcPr>
                <w:p>
                  <w:pPr>
                    <w:jc w:val="right"/>
                    <w:rPr>
                      <w:rFonts w:cs="Arial"/>
                      <w:sz w:val="15"/>
                      <w:szCs w:val="15"/>
                    </w:rPr>
                  </w:pPr>
                  <w:r>
                    <w:rPr>
                      <w:rFonts w:hint="eastAsia" w:cs="Arial"/>
                      <w:sz w:val="15"/>
                      <w:szCs w:val="15"/>
                    </w:rPr>
                    <w:t>　</w:t>
                  </w:r>
                </w:p>
              </w:tc>
              <w:tc>
                <w:tcPr>
                  <w:tcW w:w="1211" w:type="dxa"/>
                  <w:tcBorders>
                    <w:top w:val="nil"/>
                    <w:left w:val="nil"/>
                    <w:bottom w:val="single" w:color="000000" w:sz="4" w:space="0"/>
                    <w:right w:val="single" w:color="000000" w:sz="4" w:space="0"/>
                  </w:tcBorders>
                  <w:shd w:val="clear" w:color="000000" w:fill="FFFFFF"/>
                  <w:noWrap/>
                  <w:vAlign w:val="center"/>
                </w:tcPr>
                <w:p>
                  <w:pPr>
                    <w:jc w:val="right"/>
                    <w:rPr>
                      <w:rFonts w:cs="Arial"/>
                      <w:sz w:val="15"/>
                      <w:szCs w:val="15"/>
                    </w:rPr>
                  </w:pPr>
                  <w:r>
                    <w:rPr>
                      <w:rFonts w:hint="eastAsia" w:cs="Arial"/>
                      <w:sz w:val="15"/>
                      <w:szCs w:val="15"/>
                    </w:rPr>
                    <w:t>　</w:t>
                  </w:r>
                </w:p>
              </w:tc>
              <w:tc>
                <w:tcPr>
                  <w:tcW w:w="944" w:type="dxa"/>
                  <w:tcBorders>
                    <w:top w:val="nil"/>
                    <w:left w:val="nil"/>
                    <w:bottom w:val="single" w:color="000000" w:sz="4" w:space="0"/>
                    <w:right w:val="single" w:color="000000" w:sz="4" w:space="0"/>
                  </w:tcBorders>
                  <w:shd w:val="clear" w:color="000000" w:fill="FFFFFF"/>
                  <w:noWrap/>
                  <w:vAlign w:val="center"/>
                </w:tcPr>
                <w:p>
                  <w:pPr>
                    <w:jc w:val="right"/>
                    <w:rPr>
                      <w:rFonts w:cs="Arial"/>
                      <w:sz w:val="15"/>
                      <w:szCs w:val="15"/>
                    </w:rPr>
                  </w:pPr>
                  <w:r>
                    <w:rPr>
                      <w:rFonts w:hint="eastAsia" w:cs="Arial"/>
                      <w:sz w:val="15"/>
                      <w:szCs w:val="15"/>
                    </w:rPr>
                    <w:t>　</w:t>
                  </w:r>
                </w:p>
              </w:tc>
            </w:tr>
            <w:tr>
              <w:tblPrEx>
                <w:tblCellMar>
                  <w:top w:w="0" w:type="dxa"/>
                  <w:left w:w="108" w:type="dxa"/>
                  <w:bottom w:w="0" w:type="dxa"/>
                  <w:right w:w="108" w:type="dxa"/>
                </w:tblCellMar>
              </w:tblPrEx>
              <w:trPr>
                <w:trHeight w:val="318" w:hRule="atLeast"/>
              </w:trPr>
              <w:tc>
                <w:tcPr>
                  <w:tcW w:w="1706"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温州市红十字会</w:t>
                  </w:r>
                </w:p>
              </w:tc>
              <w:tc>
                <w:tcPr>
                  <w:tcW w:w="109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423.45</w:t>
                  </w:r>
                </w:p>
              </w:tc>
              <w:tc>
                <w:tcPr>
                  <w:tcW w:w="1088"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220.25</w:t>
                  </w:r>
                </w:p>
              </w:tc>
              <w:tc>
                <w:tcPr>
                  <w:tcW w:w="1449" w:type="dxa"/>
                  <w:gridSpan w:val="3"/>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27.52</w:t>
                  </w:r>
                </w:p>
              </w:tc>
              <w:tc>
                <w:tcPr>
                  <w:tcW w:w="1009"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175.68</w:t>
                  </w:r>
                </w:p>
              </w:tc>
              <w:tc>
                <w:tcPr>
                  <w:tcW w:w="1078"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sz w:val="15"/>
                      <w:szCs w:val="15"/>
                    </w:rPr>
                  </w:pPr>
                  <w:r>
                    <w:rPr>
                      <w:rFonts w:hint="eastAsia" w:cs="Arial"/>
                      <w:sz w:val="15"/>
                      <w:szCs w:val="15"/>
                    </w:rPr>
                    <w:t>　</w:t>
                  </w:r>
                </w:p>
              </w:tc>
              <w:tc>
                <w:tcPr>
                  <w:tcW w:w="1211"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sz w:val="15"/>
                      <w:szCs w:val="15"/>
                    </w:rPr>
                  </w:pPr>
                  <w:r>
                    <w:rPr>
                      <w:rFonts w:hint="eastAsia" w:cs="Arial"/>
                      <w:sz w:val="15"/>
                      <w:szCs w:val="15"/>
                    </w:rPr>
                    <w:t>　</w:t>
                  </w:r>
                </w:p>
              </w:tc>
              <w:tc>
                <w:tcPr>
                  <w:tcW w:w="944" w:type="dxa"/>
                  <w:tcBorders>
                    <w:top w:val="nil"/>
                    <w:left w:val="nil"/>
                    <w:bottom w:val="single" w:color="000000" w:sz="4" w:space="0"/>
                    <w:right w:val="single" w:color="000000" w:sz="4" w:space="0"/>
                  </w:tcBorders>
                  <w:shd w:val="clear" w:color="000000" w:fill="FFFFFF"/>
                  <w:noWrap/>
                  <w:vAlign w:val="center"/>
                </w:tcPr>
                <w:p>
                  <w:pPr>
                    <w:widowControl/>
                    <w:jc w:val="right"/>
                    <w:rPr>
                      <w:rFonts w:cs="Arial"/>
                      <w:sz w:val="15"/>
                      <w:szCs w:val="15"/>
                    </w:rPr>
                  </w:pPr>
                  <w:r>
                    <w:rPr>
                      <w:rFonts w:hint="eastAsia" w:cs="Arial"/>
                      <w:sz w:val="15"/>
                      <w:szCs w:val="15"/>
                    </w:rPr>
                    <w:t>　</w:t>
                  </w:r>
                </w:p>
              </w:tc>
            </w:tr>
          </w:tbl>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0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03-2</w:t>
            </w:r>
            <w:r>
              <w:rPr>
                <w:rFonts w:hint="eastAsia" w:ascii="宋体" w:hAnsi="宋体" w:cs="Arial"/>
                <w:color w:val="000000"/>
                <w:kern w:val="0"/>
                <w:sz w:val="20"/>
                <w:szCs w:val="20"/>
              </w:rPr>
              <w:t>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ascii="仿宋" w:hAnsi="Times New Roman" w:eastAsia="仿宋" w:cs="仿宋"/>
          <w:b/>
          <w:sz w:val="32"/>
          <w:szCs w:val="32"/>
        </w:rPr>
        <w:t>2017</w:t>
      </w:r>
      <w:r>
        <w:rPr>
          <w:rFonts w:hint="eastAsia" w:ascii="仿宋" w:hAnsi="Times New Roman" w:eastAsia="仿宋" w:cs="仿宋"/>
          <w:b/>
          <w:sz w:val="32"/>
          <w:szCs w:val="32"/>
        </w:rPr>
        <w:t>年度部门支出决算总表（分科目）</w:t>
      </w:r>
    </w:p>
    <w:tbl>
      <w:tblPr>
        <w:tblStyle w:val="5"/>
        <w:tblW w:w="16336" w:type="dxa"/>
        <w:tblInd w:w="93" w:type="dxa"/>
        <w:tblLayout w:type="autofit"/>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noWrap/>
            <w:vAlign w:val="bottom"/>
          </w:tcPr>
          <w:tbl>
            <w:tblPr>
              <w:tblStyle w:val="5"/>
              <w:tblW w:w="9639" w:type="dxa"/>
              <w:tblInd w:w="0" w:type="dxa"/>
              <w:tblLayout w:type="autofit"/>
              <w:tblCellMar>
                <w:top w:w="0" w:type="dxa"/>
                <w:left w:w="108" w:type="dxa"/>
                <w:bottom w:w="0" w:type="dxa"/>
                <w:right w:w="108" w:type="dxa"/>
              </w:tblCellMar>
            </w:tblPr>
            <w:tblGrid>
              <w:gridCol w:w="1036"/>
              <w:gridCol w:w="1269"/>
              <w:gridCol w:w="154"/>
              <w:gridCol w:w="1116"/>
              <w:gridCol w:w="987"/>
              <w:gridCol w:w="532"/>
              <w:gridCol w:w="596"/>
              <w:gridCol w:w="987"/>
              <w:gridCol w:w="1128"/>
              <w:gridCol w:w="274"/>
              <w:gridCol w:w="573"/>
              <w:gridCol w:w="987"/>
            </w:tblGrid>
            <w:tr>
              <w:tblPrEx>
                <w:tblCellMar>
                  <w:top w:w="0" w:type="dxa"/>
                  <w:left w:w="108" w:type="dxa"/>
                  <w:bottom w:w="0" w:type="dxa"/>
                  <w:right w:w="108" w:type="dxa"/>
                </w:tblCellMar>
              </w:tblPrEx>
              <w:trPr>
                <w:trHeight w:val="241" w:hRule="atLeast"/>
              </w:trPr>
              <w:tc>
                <w:tcPr>
                  <w:tcW w:w="103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1269" w:type="dxa"/>
                  <w:tcBorders>
                    <w:top w:val="nil"/>
                    <w:left w:val="nil"/>
                    <w:bottom w:val="nil"/>
                    <w:right w:val="nil"/>
                  </w:tcBorders>
                  <w:shd w:val="clear" w:color="000000" w:fill="FFFFFF"/>
                </w:tcPr>
                <w:p>
                  <w:pPr>
                    <w:widowControl/>
                    <w:jc w:val="left"/>
                    <w:rPr>
                      <w:rFonts w:ascii="Arial" w:hAnsi="Arial" w:cs="Arial"/>
                      <w:color w:val="000000"/>
                      <w:kern w:val="0"/>
                      <w:sz w:val="13"/>
                      <w:szCs w:val="13"/>
                    </w:rPr>
                  </w:pPr>
                </w:p>
              </w:tc>
              <w:tc>
                <w:tcPr>
                  <w:tcW w:w="127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151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59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9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1402"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1560" w:type="dxa"/>
                  <w:gridSpan w:val="2"/>
                  <w:tcBorders>
                    <w:top w:val="nil"/>
                    <w:left w:val="nil"/>
                    <w:bottom w:val="nil"/>
                    <w:right w:val="nil"/>
                  </w:tcBorders>
                  <w:shd w:val="clear" w:color="000000" w:fill="FFFFFF"/>
                  <w:noWrap/>
                  <w:vAlign w:val="bottom"/>
                </w:tcPr>
                <w:p>
                  <w:pPr>
                    <w:widowControl/>
                    <w:jc w:val="right"/>
                    <w:rPr>
                      <w:rFonts w:ascii="宋体" w:cs="Arial"/>
                      <w:color w:val="000000"/>
                      <w:kern w:val="0"/>
                      <w:sz w:val="13"/>
                      <w:szCs w:val="13"/>
                    </w:rPr>
                  </w:pPr>
                  <w:r>
                    <w:rPr>
                      <w:rFonts w:hint="eastAsia" w:ascii="宋体" w:hAnsi="宋体" w:cs="Arial"/>
                      <w:color w:val="000000"/>
                      <w:kern w:val="0"/>
                      <w:sz w:val="13"/>
                      <w:szCs w:val="13"/>
                    </w:rPr>
                    <w:t>公开</w:t>
                  </w:r>
                  <w:r>
                    <w:rPr>
                      <w:rFonts w:ascii="宋体" w:hAnsi="宋体" w:cs="Arial"/>
                      <w:color w:val="000000"/>
                      <w:kern w:val="0"/>
                      <w:sz w:val="13"/>
                      <w:szCs w:val="13"/>
                    </w:rPr>
                    <w:t>03-2</w:t>
                  </w:r>
                  <w:r>
                    <w:rPr>
                      <w:rFonts w:hint="eastAsia" w:ascii="宋体" w:hAnsi="宋体" w:cs="Arial"/>
                      <w:color w:val="000000"/>
                      <w:kern w:val="0"/>
                      <w:sz w:val="13"/>
                      <w:szCs w:val="13"/>
                    </w:rPr>
                    <w:t>表</w:t>
                  </w:r>
                </w:p>
              </w:tc>
            </w:tr>
            <w:tr>
              <w:tblPrEx>
                <w:tblCellMar>
                  <w:top w:w="0" w:type="dxa"/>
                  <w:left w:w="108" w:type="dxa"/>
                  <w:bottom w:w="0" w:type="dxa"/>
                  <w:right w:w="108" w:type="dxa"/>
                </w:tblCellMar>
              </w:tblPrEx>
              <w:trPr>
                <w:trHeight w:val="255" w:hRule="atLeast"/>
              </w:trPr>
              <w:tc>
                <w:tcPr>
                  <w:tcW w:w="1036" w:type="dxa"/>
                  <w:tcBorders>
                    <w:top w:val="nil"/>
                    <w:left w:val="nil"/>
                    <w:bottom w:val="nil"/>
                    <w:right w:val="nil"/>
                  </w:tcBorders>
                  <w:shd w:val="clear" w:color="000000" w:fill="FFFFFF"/>
                  <w:noWrap/>
                  <w:vAlign w:val="bottom"/>
                </w:tcPr>
                <w:p>
                  <w:pPr>
                    <w:widowControl/>
                    <w:jc w:val="left"/>
                    <w:rPr>
                      <w:rFonts w:ascii="宋体" w:cs="Arial"/>
                      <w:color w:val="000000"/>
                      <w:kern w:val="0"/>
                      <w:sz w:val="13"/>
                      <w:szCs w:val="13"/>
                    </w:rPr>
                  </w:pPr>
                  <w:r>
                    <w:rPr>
                      <w:rFonts w:hint="eastAsia" w:ascii="宋体" w:hAnsi="宋体" w:cs="Arial"/>
                      <w:color w:val="000000"/>
                      <w:kern w:val="0"/>
                      <w:sz w:val="13"/>
                      <w:szCs w:val="13"/>
                    </w:rPr>
                    <w:t>　部门：</w:t>
                  </w:r>
                </w:p>
              </w:tc>
              <w:tc>
                <w:tcPr>
                  <w:tcW w:w="2539" w:type="dxa"/>
                  <w:gridSpan w:val="3"/>
                  <w:tcBorders>
                    <w:top w:val="nil"/>
                    <w:left w:val="nil"/>
                    <w:bottom w:val="single" w:color="auto" w:sz="4" w:space="0"/>
                    <w:right w:val="nil"/>
                  </w:tcBorders>
                  <w:shd w:val="clear" w:color="000000" w:fill="FFFFFF"/>
                  <w:vAlign w:val="center"/>
                </w:tcPr>
                <w:p>
                  <w:pPr>
                    <w:widowControl/>
                    <w:rPr>
                      <w:rFonts w:ascii="Arial" w:hAnsi="Arial" w:cs="Arial"/>
                      <w:color w:val="000000"/>
                      <w:kern w:val="0"/>
                      <w:sz w:val="13"/>
                      <w:szCs w:val="13"/>
                    </w:rPr>
                  </w:pPr>
                  <w:r>
                    <w:rPr>
                      <w:rFonts w:hint="eastAsia" w:ascii="Arial" w:hAnsi="Arial" w:cs="Arial"/>
                      <w:color w:val="000000"/>
                      <w:kern w:val="0"/>
                      <w:sz w:val="13"/>
                      <w:szCs w:val="13"/>
                    </w:rPr>
                    <w:t>温州市红十字会</w:t>
                  </w:r>
                </w:p>
              </w:tc>
              <w:tc>
                <w:tcPr>
                  <w:tcW w:w="151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596" w:type="dxa"/>
                  <w:tcBorders>
                    <w:top w:val="nil"/>
                    <w:left w:val="nil"/>
                    <w:bottom w:val="nil"/>
                    <w:right w:val="nil"/>
                  </w:tcBorders>
                  <w:shd w:val="clear" w:color="000000" w:fill="FFFFFF"/>
                  <w:noWrap/>
                  <w:vAlign w:val="bottom"/>
                </w:tcPr>
                <w:p>
                  <w:pPr>
                    <w:widowControl/>
                    <w:jc w:val="center"/>
                    <w:rPr>
                      <w:rFonts w:ascii="宋体" w:cs="Arial"/>
                      <w:color w:val="000000"/>
                      <w:kern w:val="0"/>
                      <w:sz w:val="13"/>
                      <w:szCs w:val="13"/>
                    </w:rPr>
                  </w:pPr>
                  <w:r>
                    <w:rPr>
                      <w:rFonts w:hint="eastAsia" w:ascii="宋体" w:hAnsi="宋体" w:cs="Arial"/>
                      <w:color w:val="000000"/>
                      <w:kern w:val="0"/>
                      <w:sz w:val="13"/>
                      <w:szCs w:val="13"/>
                    </w:rPr>
                    <w:t>　</w:t>
                  </w:r>
                </w:p>
              </w:tc>
              <w:tc>
                <w:tcPr>
                  <w:tcW w:w="9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1402"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3"/>
                      <w:szCs w:val="13"/>
                    </w:rPr>
                  </w:pPr>
                  <w:r>
                    <w:rPr>
                      <w:rFonts w:hint="eastAsia" w:ascii="Arial" w:hAnsi="Arial" w:cs="Arial"/>
                      <w:color w:val="000000"/>
                      <w:kern w:val="0"/>
                      <w:sz w:val="13"/>
                      <w:szCs w:val="13"/>
                    </w:rPr>
                    <w:t>　</w:t>
                  </w:r>
                </w:p>
              </w:tc>
              <w:tc>
                <w:tcPr>
                  <w:tcW w:w="1560" w:type="dxa"/>
                  <w:gridSpan w:val="2"/>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13"/>
                      <w:szCs w:val="13"/>
                    </w:rPr>
                  </w:pPr>
                  <w:r>
                    <w:rPr>
                      <w:rFonts w:hint="eastAsia" w:ascii="宋体" w:hAnsi="宋体" w:cs="Arial"/>
                      <w:color w:val="000000"/>
                      <w:kern w:val="0"/>
                      <w:sz w:val="13"/>
                      <w:szCs w:val="13"/>
                    </w:rPr>
                    <w:t>金额单位：万元</w:t>
                  </w:r>
                </w:p>
              </w:tc>
            </w:tr>
            <w:tr>
              <w:tblPrEx>
                <w:tblCellMar>
                  <w:top w:w="0" w:type="dxa"/>
                  <w:left w:w="108" w:type="dxa"/>
                  <w:bottom w:w="0" w:type="dxa"/>
                  <w:right w:w="108" w:type="dxa"/>
                </w:tblCellMar>
              </w:tblPrEx>
              <w:trPr>
                <w:trHeight w:val="280" w:hRule="atLeast"/>
              </w:trPr>
              <w:tc>
                <w:tcPr>
                  <w:tcW w:w="1036"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科目编码</w:t>
                  </w:r>
                </w:p>
              </w:tc>
              <w:tc>
                <w:tcPr>
                  <w:tcW w:w="1423"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科目名称</w:t>
                  </w:r>
                </w:p>
              </w:tc>
              <w:tc>
                <w:tcPr>
                  <w:tcW w:w="111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总计</w:t>
                  </w:r>
                </w:p>
              </w:tc>
              <w:tc>
                <w:tcPr>
                  <w:tcW w:w="2115"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基本支出</w:t>
                  </w:r>
                </w:p>
              </w:tc>
              <w:tc>
                <w:tcPr>
                  <w:tcW w:w="98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项目支出</w:t>
                  </w:r>
                </w:p>
              </w:tc>
              <w:tc>
                <w:tcPr>
                  <w:tcW w:w="112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事业单位经营支出</w:t>
                  </w:r>
                </w:p>
              </w:tc>
              <w:tc>
                <w:tcPr>
                  <w:tcW w:w="847"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对附属单位补助支出</w:t>
                  </w:r>
                </w:p>
              </w:tc>
              <w:tc>
                <w:tcPr>
                  <w:tcW w:w="98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上缴上级支出</w:t>
                  </w:r>
                </w:p>
              </w:tc>
            </w:tr>
            <w:tr>
              <w:tblPrEx>
                <w:tblCellMar>
                  <w:top w:w="0" w:type="dxa"/>
                  <w:left w:w="108" w:type="dxa"/>
                  <w:bottom w:w="0" w:type="dxa"/>
                  <w:right w:w="108" w:type="dxa"/>
                </w:tblCellMar>
              </w:tblPrEx>
              <w:trPr>
                <w:trHeight w:val="283" w:hRule="atLeast"/>
              </w:trPr>
              <w:tc>
                <w:tcPr>
                  <w:tcW w:w="1036"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Arial"/>
                      <w:color w:val="000000"/>
                      <w:kern w:val="0"/>
                      <w:sz w:val="13"/>
                      <w:szCs w:val="13"/>
                    </w:rPr>
                  </w:pPr>
                </w:p>
              </w:tc>
              <w:tc>
                <w:tcPr>
                  <w:tcW w:w="1423"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3"/>
                      <w:szCs w:val="13"/>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3"/>
                      <w:szCs w:val="13"/>
                    </w:rPr>
                  </w:pPr>
                </w:p>
              </w:tc>
              <w:tc>
                <w:tcPr>
                  <w:tcW w:w="987"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人员支出</w:t>
                  </w:r>
                </w:p>
              </w:tc>
              <w:tc>
                <w:tcPr>
                  <w:tcW w:w="112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日常公用支出</w:t>
                  </w:r>
                </w:p>
              </w:tc>
              <w:tc>
                <w:tcPr>
                  <w:tcW w:w="9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3"/>
                      <w:szCs w:val="13"/>
                    </w:rPr>
                  </w:pPr>
                </w:p>
              </w:tc>
              <w:tc>
                <w:tcPr>
                  <w:tcW w:w="112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3"/>
                      <w:szCs w:val="13"/>
                    </w:rPr>
                  </w:pPr>
                </w:p>
              </w:tc>
              <w:tc>
                <w:tcPr>
                  <w:tcW w:w="847"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3"/>
                      <w:szCs w:val="13"/>
                    </w:rPr>
                  </w:pPr>
                </w:p>
              </w:tc>
              <w:tc>
                <w:tcPr>
                  <w:tcW w:w="98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3"/>
                      <w:szCs w:val="13"/>
                    </w:rPr>
                  </w:pPr>
                </w:p>
              </w:tc>
            </w:tr>
            <w:tr>
              <w:tblPrEx>
                <w:tblCellMar>
                  <w:top w:w="0" w:type="dxa"/>
                  <w:left w:w="108" w:type="dxa"/>
                  <w:bottom w:w="0" w:type="dxa"/>
                  <w:right w:w="108" w:type="dxa"/>
                </w:tblCellMar>
              </w:tblPrEx>
              <w:trPr>
                <w:trHeight w:val="291" w:hRule="atLeast"/>
              </w:trPr>
              <w:tc>
                <w:tcPr>
                  <w:tcW w:w="2459" w:type="dxa"/>
                  <w:gridSpan w:val="3"/>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栏</w:t>
                  </w:r>
                  <w:r>
                    <w:rPr>
                      <w:rFonts w:ascii="宋体" w:hAnsi="宋体" w:cs="Arial"/>
                      <w:color w:val="000000"/>
                      <w:kern w:val="0"/>
                      <w:sz w:val="13"/>
                      <w:szCs w:val="13"/>
                    </w:rPr>
                    <w:t xml:space="preserve">  </w:t>
                  </w:r>
                  <w:r>
                    <w:rPr>
                      <w:rFonts w:hint="eastAsia" w:ascii="宋体" w:hAnsi="宋体" w:cs="Arial"/>
                      <w:color w:val="000000"/>
                      <w:kern w:val="0"/>
                      <w:sz w:val="13"/>
                      <w:szCs w:val="13"/>
                    </w:rPr>
                    <w:t>次</w:t>
                  </w:r>
                </w:p>
              </w:tc>
              <w:tc>
                <w:tcPr>
                  <w:tcW w:w="111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1</w:t>
                  </w:r>
                </w:p>
              </w:tc>
              <w:tc>
                <w:tcPr>
                  <w:tcW w:w="987"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2</w:t>
                  </w:r>
                </w:p>
              </w:tc>
              <w:tc>
                <w:tcPr>
                  <w:tcW w:w="112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3</w:t>
                  </w:r>
                </w:p>
              </w:tc>
              <w:tc>
                <w:tcPr>
                  <w:tcW w:w="9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4</w:t>
                  </w:r>
                </w:p>
              </w:tc>
              <w:tc>
                <w:tcPr>
                  <w:tcW w:w="112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5</w:t>
                  </w:r>
                </w:p>
              </w:tc>
              <w:tc>
                <w:tcPr>
                  <w:tcW w:w="84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6</w:t>
                  </w:r>
                </w:p>
              </w:tc>
              <w:tc>
                <w:tcPr>
                  <w:tcW w:w="9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3"/>
                      <w:szCs w:val="13"/>
                    </w:rPr>
                  </w:pPr>
                  <w:r>
                    <w:rPr>
                      <w:rFonts w:ascii="宋体" w:hAnsi="宋体" w:cs="Arial"/>
                      <w:color w:val="000000"/>
                      <w:kern w:val="0"/>
                      <w:sz w:val="13"/>
                      <w:szCs w:val="13"/>
                    </w:rPr>
                    <w:t>7</w:t>
                  </w:r>
                </w:p>
              </w:tc>
            </w:tr>
            <w:tr>
              <w:tblPrEx>
                <w:tblCellMar>
                  <w:top w:w="0" w:type="dxa"/>
                  <w:left w:w="108" w:type="dxa"/>
                  <w:bottom w:w="0" w:type="dxa"/>
                  <w:right w:w="108" w:type="dxa"/>
                </w:tblCellMar>
              </w:tblPrEx>
              <w:trPr>
                <w:trHeight w:val="291" w:hRule="atLeast"/>
              </w:trPr>
              <w:tc>
                <w:tcPr>
                  <w:tcW w:w="2459"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3"/>
                      <w:szCs w:val="13"/>
                    </w:rPr>
                  </w:pPr>
                  <w:r>
                    <w:rPr>
                      <w:rFonts w:hint="eastAsia" w:ascii="宋体" w:hAnsi="宋体" w:cs="Arial"/>
                      <w:color w:val="000000"/>
                      <w:kern w:val="0"/>
                      <w:sz w:val="13"/>
                      <w:szCs w:val="13"/>
                    </w:rPr>
                    <w:t>合</w:t>
                  </w:r>
                  <w:r>
                    <w:rPr>
                      <w:rFonts w:ascii="宋体" w:hAnsi="宋体" w:cs="Arial"/>
                      <w:color w:val="000000"/>
                      <w:kern w:val="0"/>
                      <w:sz w:val="13"/>
                      <w:szCs w:val="13"/>
                    </w:rPr>
                    <w:t xml:space="preserve">  </w:t>
                  </w:r>
                  <w:r>
                    <w:rPr>
                      <w:rFonts w:hint="eastAsia" w:ascii="宋体" w:hAnsi="宋体" w:cs="Arial"/>
                      <w:color w:val="000000"/>
                      <w:kern w:val="0"/>
                      <w:sz w:val="13"/>
                      <w:szCs w:val="13"/>
                    </w:rPr>
                    <w:t>计</w:t>
                  </w:r>
                </w:p>
              </w:tc>
              <w:tc>
                <w:tcPr>
                  <w:tcW w:w="1116" w:type="dxa"/>
                  <w:tcBorders>
                    <w:top w:val="single" w:color="auto" w:sz="4" w:space="0"/>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423.45</w:t>
                  </w:r>
                </w:p>
              </w:tc>
              <w:tc>
                <w:tcPr>
                  <w:tcW w:w="987"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220.25</w:t>
                  </w:r>
                </w:p>
              </w:tc>
              <w:tc>
                <w:tcPr>
                  <w:tcW w:w="1128" w:type="dxa"/>
                  <w:gridSpan w:val="2"/>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27.52</w:t>
                  </w:r>
                </w:p>
              </w:tc>
              <w:tc>
                <w:tcPr>
                  <w:tcW w:w="987"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175.68</w:t>
                  </w:r>
                </w:p>
              </w:tc>
              <w:tc>
                <w:tcPr>
                  <w:tcW w:w="11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c>
                <w:tcPr>
                  <w:tcW w:w="84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c>
                <w:tcPr>
                  <w:tcW w:w="9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r>
            <w:tr>
              <w:tblPrEx>
                <w:tblCellMar>
                  <w:top w:w="0" w:type="dxa"/>
                  <w:left w:w="108" w:type="dxa"/>
                  <w:bottom w:w="0" w:type="dxa"/>
                  <w:right w:w="108" w:type="dxa"/>
                </w:tblCellMar>
              </w:tblPrEx>
              <w:trPr>
                <w:trHeight w:val="220" w:hRule="atLeast"/>
              </w:trPr>
              <w:tc>
                <w:tcPr>
                  <w:tcW w:w="1036" w:type="dxa"/>
                  <w:tcBorders>
                    <w:top w:val="nil"/>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hint="eastAsia" w:ascii="宋体" w:hAnsi="宋体" w:cs="Arial"/>
                      <w:b/>
                      <w:color w:val="000000"/>
                      <w:kern w:val="0"/>
                      <w:sz w:val="13"/>
                      <w:szCs w:val="13"/>
                    </w:rPr>
                    <w:t>　</w:t>
                  </w:r>
                  <w:r>
                    <w:rPr>
                      <w:rFonts w:ascii="宋体" w:hAnsi="宋体" w:cs="Arial"/>
                      <w:b/>
                      <w:color w:val="000000"/>
                      <w:kern w:val="0"/>
                      <w:sz w:val="13"/>
                      <w:szCs w:val="13"/>
                    </w:rPr>
                    <w:t>208</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hAnsi="宋体" w:cs="Arial"/>
                      <w:b/>
                      <w:color w:val="000000"/>
                      <w:kern w:val="0"/>
                      <w:sz w:val="13"/>
                      <w:szCs w:val="13"/>
                    </w:rPr>
                    <w:t>社会保障和就业支出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377.29</w:t>
                  </w:r>
                </w:p>
              </w:tc>
              <w:tc>
                <w:tcPr>
                  <w:tcW w:w="987" w:type="dxa"/>
                  <w:tcBorders>
                    <w:top w:val="nil"/>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174.09</w:t>
                  </w:r>
                </w:p>
              </w:tc>
              <w:tc>
                <w:tcPr>
                  <w:tcW w:w="1128" w:type="dxa"/>
                  <w:gridSpan w:val="2"/>
                  <w:tcBorders>
                    <w:top w:val="nil"/>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27.52</w:t>
                  </w:r>
                </w:p>
              </w:tc>
              <w:tc>
                <w:tcPr>
                  <w:tcW w:w="987" w:type="dxa"/>
                  <w:tcBorders>
                    <w:top w:val="nil"/>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175.68</w:t>
                  </w:r>
                </w:p>
              </w:tc>
              <w:tc>
                <w:tcPr>
                  <w:tcW w:w="1128" w:type="dxa"/>
                  <w:tcBorders>
                    <w:top w:val="nil"/>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nil"/>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3"/>
                      <w:szCs w:val="13"/>
                    </w:rPr>
                  </w:pPr>
                </w:p>
              </w:tc>
            </w:tr>
            <w:tr>
              <w:tblPrEx>
                <w:tblCellMar>
                  <w:top w:w="0" w:type="dxa"/>
                  <w:left w:w="108" w:type="dxa"/>
                  <w:bottom w:w="0" w:type="dxa"/>
                  <w:right w:w="108" w:type="dxa"/>
                </w:tblCellMar>
              </w:tblPrEx>
              <w:trPr>
                <w:trHeight w:val="284"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hAnsi="宋体" w:cs="Arial"/>
                      <w:b/>
                      <w:color w:val="000000"/>
                      <w:kern w:val="0"/>
                      <w:sz w:val="13"/>
                      <w:szCs w:val="13"/>
                    </w:rPr>
                    <w:t>20805</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b/>
                      <w:color w:val="000000"/>
                      <w:kern w:val="0"/>
                      <w:sz w:val="13"/>
                      <w:szCs w:val="13"/>
                    </w:rPr>
                  </w:pPr>
                  <w:r>
                    <w:rPr>
                      <w:rFonts w:hint="eastAsia" w:ascii="宋体" w:hAnsi="宋体" w:cs="Arial"/>
                      <w:b/>
                      <w:color w:val="000000"/>
                      <w:kern w:val="0"/>
                      <w:sz w:val="13"/>
                      <w:szCs w:val="13"/>
                    </w:rPr>
                    <w:t>行政事业单位离退休</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0.54</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0.54</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3"/>
                      <w:szCs w:val="13"/>
                    </w:rPr>
                  </w:pPr>
                </w:p>
              </w:tc>
            </w:tr>
            <w:tr>
              <w:tblPrEx>
                <w:tblCellMar>
                  <w:top w:w="0" w:type="dxa"/>
                  <w:left w:w="108" w:type="dxa"/>
                  <w:bottom w:w="0" w:type="dxa"/>
                  <w:right w:w="108" w:type="dxa"/>
                </w:tblCellMar>
              </w:tblPrEx>
              <w:trPr>
                <w:trHeight w:val="230"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hAnsi="宋体" w:cs="Arial"/>
                      <w:color w:val="000000"/>
                      <w:kern w:val="0"/>
                      <w:sz w:val="13"/>
                      <w:szCs w:val="13"/>
                    </w:rPr>
                    <w:t>2080505</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机关事业单位基本养老保险缴费支出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0.38</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0.38</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r>
                    <w:rPr>
                      <w:rFonts w:hint="eastAsia" w:ascii="宋体" w:hAnsi="宋体" w:cs="Arial"/>
                      <w:color w:val="000000"/>
                      <w:kern w:val="0"/>
                      <w:sz w:val="13"/>
                      <w:szCs w:val="13"/>
                    </w:rPr>
                    <w:t>　</w:t>
                  </w: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r>
                    <w:rPr>
                      <w:rFonts w:hint="eastAsia" w:ascii="宋体" w:hAnsi="宋体" w:cs="Arial"/>
                      <w:color w:val="000000"/>
                      <w:kern w:val="0"/>
                      <w:sz w:val="13"/>
                      <w:szCs w:val="13"/>
                    </w:rPr>
                    <w:t>　</w:t>
                  </w: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r>
                    <w:rPr>
                      <w:rFonts w:hint="eastAsia" w:ascii="宋体" w:hAnsi="宋体" w:cs="Arial"/>
                      <w:color w:val="000000"/>
                      <w:kern w:val="0"/>
                      <w:sz w:val="13"/>
                      <w:szCs w:val="13"/>
                    </w:rPr>
                    <w:t>　</w:t>
                  </w:r>
                </w:p>
              </w:tc>
            </w:tr>
            <w:tr>
              <w:tblPrEx>
                <w:tblCellMar>
                  <w:top w:w="0" w:type="dxa"/>
                  <w:left w:w="108" w:type="dxa"/>
                  <w:bottom w:w="0" w:type="dxa"/>
                  <w:right w:w="108" w:type="dxa"/>
                </w:tblCellMar>
              </w:tblPrEx>
              <w:trPr>
                <w:trHeight w:val="292"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hAnsi="宋体" w:cs="Arial"/>
                      <w:color w:val="000000"/>
                      <w:kern w:val="0"/>
                      <w:sz w:val="13"/>
                      <w:szCs w:val="13"/>
                    </w:rPr>
                    <w:t>2080506</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机关事业单位职业年金缴费支出★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0.16</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0.16</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373"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hAnsi="宋体" w:cs="Arial"/>
                      <w:b/>
                      <w:color w:val="000000"/>
                      <w:kern w:val="0"/>
                      <w:sz w:val="13"/>
                      <w:szCs w:val="13"/>
                    </w:rPr>
                    <w:t>20816</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红十字事业</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cs="Arial"/>
                      <w:b/>
                      <w:color w:val="000000"/>
                      <w:kern w:val="0"/>
                      <w:sz w:val="13"/>
                      <w:szCs w:val="13"/>
                    </w:rPr>
                  </w:pPr>
                  <w:r>
                    <w:rPr>
                      <w:rFonts w:ascii="宋体" w:hAnsi="宋体" w:cs="Arial"/>
                      <w:b/>
                      <w:color w:val="000000"/>
                      <w:kern w:val="0"/>
                      <w:sz w:val="13"/>
                      <w:szCs w:val="13"/>
                    </w:rPr>
                    <w:t>376.75</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173.55</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27.52</w:t>
                  </w: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175.68</w:t>
                  </w: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284"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hAnsi="宋体" w:cs="Arial"/>
                      <w:color w:val="000000"/>
                      <w:kern w:val="0"/>
                      <w:sz w:val="13"/>
                      <w:szCs w:val="13"/>
                    </w:rPr>
                    <w:t>2081601</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ascii="宋体" w:cs="Arial"/>
                      <w:color w:val="000000"/>
                      <w:kern w:val="0"/>
                      <w:sz w:val="13"/>
                      <w:szCs w:val="13"/>
                    </w:rPr>
                    <w:t xml:space="preserve">  </w:t>
                  </w:r>
                  <w:r>
                    <w:rPr>
                      <w:rFonts w:hint="eastAsia" w:ascii="宋体" w:cs="Arial"/>
                      <w:color w:val="000000"/>
                      <w:kern w:val="0"/>
                      <w:sz w:val="13"/>
                      <w:szCs w:val="13"/>
                    </w:rPr>
                    <w:t>行政运行</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201.07</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173.55</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27.52</w:t>
                  </w: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425"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hAnsi="宋体" w:cs="Arial"/>
                      <w:color w:val="000000"/>
                      <w:kern w:val="0"/>
                      <w:sz w:val="13"/>
                      <w:szCs w:val="13"/>
                    </w:rPr>
                    <w:t>2081602</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一般行政管理事务</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25.70</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25.70</w:t>
                  </w: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425"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hAnsi="宋体" w:cs="Arial"/>
                      <w:color w:val="000000"/>
                      <w:kern w:val="0"/>
                      <w:sz w:val="13"/>
                      <w:szCs w:val="13"/>
                    </w:rPr>
                    <w:t>2081699</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其他红十字事业支出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149.98</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149.98</w:t>
                  </w: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274"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hAnsi="宋体" w:cs="Arial"/>
                      <w:b/>
                      <w:color w:val="000000"/>
                      <w:kern w:val="0"/>
                      <w:sz w:val="13"/>
                      <w:szCs w:val="13"/>
                    </w:rPr>
                    <w:t>210</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医疗卫生与计划生育支出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8.09</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8.09</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235"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hAnsi="宋体" w:cs="Arial"/>
                      <w:b/>
                      <w:color w:val="000000"/>
                      <w:kern w:val="0"/>
                      <w:sz w:val="13"/>
                      <w:szCs w:val="13"/>
                    </w:rPr>
                    <w:t>21011</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行政事业单位医疗</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8.09</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8.09</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302"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hAnsi="宋体" w:cs="Arial"/>
                      <w:color w:val="000000"/>
                      <w:kern w:val="0"/>
                      <w:sz w:val="13"/>
                      <w:szCs w:val="13"/>
                    </w:rPr>
                    <w:t>2101101</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行政单位医疗★</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8.09</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8.09</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235"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hAnsi="宋体" w:cs="Arial"/>
                      <w:b/>
                      <w:color w:val="000000"/>
                      <w:kern w:val="0"/>
                      <w:sz w:val="13"/>
                      <w:szCs w:val="13"/>
                    </w:rPr>
                    <w:t>221</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住房保障支出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14.40</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14.40</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282"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b/>
                      <w:color w:val="000000"/>
                      <w:kern w:val="0"/>
                      <w:sz w:val="13"/>
                      <w:szCs w:val="13"/>
                    </w:rPr>
                  </w:pPr>
                  <w:r>
                    <w:rPr>
                      <w:rFonts w:ascii="宋体" w:hAnsi="宋体" w:cs="Arial"/>
                      <w:b/>
                      <w:color w:val="000000"/>
                      <w:kern w:val="0"/>
                      <w:sz w:val="13"/>
                      <w:szCs w:val="13"/>
                    </w:rPr>
                    <w:t>22102</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住房改革支出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14.40</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14.40</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276" w:hRule="atLeast"/>
              </w:trPr>
              <w:tc>
                <w:tcPr>
                  <w:tcW w:w="1036" w:type="dxa"/>
                  <w:tcBorders>
                    <w:top w:val="single" w:color="auto" w:sz="4" w:space="0"/>
                    <w:left w:val="single" w:color="000000" w:sz="8" w:space="0"/>
                    <w:bottom w:val="single" w:color="auto" w:sz="4" w:space="0"/>
                    <w:right w:val="single" w:color="auto" w:sz="4" w:space="0"/>
                  </w:tcBorders>
                  <w:shd w:val="clear" w:color="FFFFFF" w:fill="FFFFFF"/>
                  <w:noWrap/>
                  <w:vAlign w:val="center"/>
                </w:tcPr>
                <w:p>
                  <w:pPr>
                    <w:rPr>
                      <w:rFonts w:ascii="宋体" w:cs="Arial"/>
                      <w:color w:val="000000"/>
                      <w:kern w:val="0"/>
                      <w:sz w:val="13"/>
                      <w:szCs w:val="13"/>
                    </w:rPr>
                  </w:pPr>
                  <w:r>
                    <w:rPr>
                      <w:rFonts w:ascii="宋体" w:hAnsi="宋体" w:cs="Arial"/>
                      <w:color w:val="000000"/>
                      <w:kern w:val="0"/>
                      <w:sz w:val="13"/>
                      <w:szCs w:val="13"/>
                    </w:rPr>
                    <w:t>2210201</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住房公积金</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14.22</w:t>
                  </w:r>
                </w:p>
              </w:tc>
              <w:tc>
                <w:tcPr>
                  <w:tcW w:w="987" w:type="dxa"/>
                  <w:tcBorders>
                    <w:top w:val="single" w:color="auto" w:sz="4" w:space="0"/>
                    <w:left w:val="single" w:color="auto" w:sz="4" w:space="0"/>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14.22</w:t>
                  </w:r>
                </w:p>
              </w:tc>
              <w:tc>
                <w:tcPr>
                  <w:tcW w:w="1128" w:type="dxa"/>
                  <w:gridSpan w:val="2"/>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1128"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274" w:hRule="atLeast"/>
              </w:trPr>
              <w:tc>
                <w:tcPr>
                  <w:tcW w:w="1036" w:type="dxa"/>
                  <w:tcBorders>
                    <w:top w:val="single" w:color="auto" w:sz="4" w:space="0"/>
                    <w:left w:val="single" w:color="000000" w:sz="8" w:space="0"/>
                    <w:bottom w:val="single" w:color="000000" w:sz="4" w:space="0"/>
                    <w:right w:val="single" w:color="auto" w:sz="4" w:space="0"/>
                  </w:tcBorders>
                  <w:shd w:val="clear" w:color="FFFFFF" w:fill="FFFFFF"/>
                  <w:noWrap/>
                  <w:vAlign w:val="center"/>
                </w:tcPr>
                <w:p>
                  <w:pPr>
                    <w:rPr>
                      <w:rFonts w:ascii="宋体" w:cs="Arial"/>
                      <w:color w:val="000000"/>
                      <w:kern w:val="0"/>
                      <w:sz w:val="13"/>
                      <w:szCs w:val="13"/>
                    </w:rPr>
                  </w:pPr>
                  <w:r>
                    <w:rPr>
                      <w:rFonts w:ascii="宋体" w:hAnsi="宋体" w:cs="Arial"/>
                      <w:color w:val="000000"/>
                      <w:kern w:val="0"/>
                      <w:sz w:val="13"/>
                      <w:szCs w:val="13"/>
                    </w:rPr>
                    <w:t>2210203</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购房补贴</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0.18</w:t>
                  </w:r>
                </w:p>
              </w:tc>
              <w:tc>
                <w:tcPr>
                  <w:tcW w:w="987" w:type="dxa"/>
                  <w:tcBorders>
                    <w:top w:val="single" w:color="auto" w:sz="4" w:space="0"/>
                    <w:left w:val="single" w:color="auto" w:sz="4" w:space="0"/>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0.18</w:t>
                  </w:r>
                </w:p>
              </w:tc>
              <w:tc>
                <w:tcPr>
                  <w:tcW w:w="1128" w:type="dxa"/>
                  <w:gridSpan w:val="2"/>
                  <w:tcBorders>
                    <w:top w:val="single" w:color="auto" w:sz="4" w:space="0"/>
                    <w:left w:val="nil"/>
                    <w:bottom w:val="single" w:color="000000"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987" w:type="dxa"/>
                  <w:tcBorders>
                    <w:top w:val="single" w:color="auto" w:sz="4" w:space="0"/>
                    <w:left w:val="nil"/>
                    <w:bottom w:val="single" w:color="000000" w:sz="4" w:space="0"/>
                    <w:right w:val="single" w:color="000000" w:sz="4" w:space="0"/>
                  </w:tcBorders>
                  <w:shd w:val="clear" w:color="000000" w:fill="FFFFFF"/>
                  <w:noWrap/>
                  <w:vAlign w:val="center"/>
                </w:tcPr>
                <w:p>
                  <w:pPr>
                    <w:jc w:val="center"/>
                    <w:rPr>
                      <w:rFonts w:ascii="宋体" w:cs="Arial"/>
                      <w:b/>
                      <w:color w:val="000000"/>
                      <w:kern w:val="0"/>
                      <w:sz w:val="13"/>
                      <w:szCs w:val="13"/>
                    </w:rPr>
                  </w:pPr>
                </w:p>
              </w:tc>
              <w:tc>
                <w:tcPr>
                  <w:tcW w:w="1128" w:type="dxa"/>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847" w:type="dxa"/>
                  <w:gridSpan w:val="2"/>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3"/>
                      <w:szCs w:val="13"/>
                    </w:rPr>
                  </w:pPr>
                </w:p>
              </w:tc>
              <w:tc>
                <w:tcPr>
                  <w:tcW w:w="987" w:type="dxa"/>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color w:val="000000"/>
                      <w:kern w:val="0"/>
                      <w:sz w:val="13"/>
                      <w:szCs w:val="13"/>
                    </w:rPr>
                  </w:pPr>
                </w:p>
              </w:tc>
            </w:tr>
            <w:tr>
              <w:tblPrEx>
                <w:tblCellMar>
                  <w:top w:w="0" w:type="dxa"/>
                  <w:left w:w="108" w:type="dxa"/>
                  <w:bottom w:w="0" w:type="dxa"/>
                  <w:right w:w="108" w:type="dxa"/>
                </w:tblCellMar>
              </w:tblPrEx>
              <w:trPr>
                <w:trHeight w:val="291" w:hRule="atLeast"/>
              </w:trPr>
              <w:tc>
                <w:tcPr>
                  <w:tcW w:w="1036"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kern w:val="0"/>
                      <w:sz w:val="13"/>
                      <w:szCs w:val="13"/>
                    </w:rPr>
                  </w:pPr>
                  <w:r>
                    <w:rPr>
                      <w:rFonts w:hint="eastAsia" w:ascii="宋体" w:hAnsi="宋体" w:cs="Arial"/>
                      <w:b/>
                      <w:color w:val="000000"/>
                      <w:kern w:val="0"/>
                      <w:sz w:val="13"/>
                      <w:szCs w:val="13"/>
                    </w:rPr>
                    <w:t>　</w:t>
                  </w:r>
                  <w:r>
                    <w:rPr>
                      <w:rFonts w:ascii="宋体" w:hAnsi="宋体" w:cs="Arial"/>
                      <w:b/>
                      <w:color w:val="000000"/>
                      <w:kern w:val="0"/>
                      <w:sz w:val="13"/>
                      <w:szCs w:val="13"/>
                    </w:rPr>
                    <w:t>229</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其他支出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23.67</w:t>
                  </w:r>
                </w:p>
              </w:tc>
              <w:tc>
                <w:tcPr>
                  <w:tcW w:w="987" w:type="dxa"/>
                  <w:tcBorders>
                    <w:top w:val="nil"/>
                    <w:left w:val="single" w:color="auto" w:sz="4" w:space="0"/>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23.67</w:t>
                  </w:r>
                </w:p>
              </w:tc>
              <w:tc>
                <w:tcPr>
                  <w:tcW w:w="112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p>
              </w:tc>
              <w:tc>
                <w:tcPr>
                  <w:tcW w:w="98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p>
              </w:tc>
              <w:tc>
                <w:tcPr>
                  <w:tcW w:w="11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c>
                <w:tcPr>
                  <w:tcW w:w="84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c>
                <w:tcPr>
                  <w:tcW w:w="9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r>
            <w:tr>
              <w:tblPrEx>
                <w:tblCellMar>
                  <w:top w:w="0" w:type="dxa"/>
                  <w:left w:w="108" w:type="dxa"/>
                  <w:bottom w:w="0" w:type="dxa"/>
                  <w:right w:w="108" w:type="dxa"/>
                </w:tblCellMar>
              </w:tblPrEx>
              <w:trPr>
                <w:trHeight w:val="291" w:hRule="atLeast"/>
              </w:trPr>
              <w:tc>
                <w:tcPr>
                  <w:tcW w:w="1036"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kern w:val="0"/>
                      <w:sz w:val="13"/>
                      <w:szCs w:val="13"/>
                    </w:rPr>
                  </w:pPr>
                  <w:r>
                    <w:rPr>
                      <w:rFonts w:hint="eastAsia" w:ascii="宋体" w:hAnsi="宋体" w:cs="Arial"/>
                      <w:b/>
                      <w:color w:val="000000"/>
                      <w:kern w:val="0"/>
                      <w:sz w:val="13"/>
                      <w:szCs w:val="13"/>
                    </w:rPr>
                    <w:t>　</w:t>
                  </w:r>
                  <w:r>
                    <w:rPr>
                      <w:rFonts w:ascii="宋体" w:hAnsi="宋体" w:cs="Arial"/>
                      <w:b/>
                      <w:color w:val="000000"/>
                      <w:kern w:val="0"/>
                      <w:sz w:val="13"/>
                      <w:szCs w:val="13"/>
                    </w:rPr>
                    <w:t>22904</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b/>
                      <w:color w:val="000000"/>
                      <w:kern w:val="0"/>
                      <w:sz w:val="13"/>
                      <w:szCs w:val="13"/>
                    </w:rPr>
                  </w:pPr>
                  <w:r>
                    <w:rPr>
                      <w:rFonts w:hint="eastAsia" w:ascii="宋体" w:cs="Arial"/>
                      <w:b/>
                      <w:color w:val="000000"/>
                      <w:kern w:val="0"/>
                      <w:sz w:val="13"/>
                      <w:szCs w:val="13"/>
                    </w:rPr>
                    <w:t>其他政府性基金及对应专项债务收入安排的支出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23.67</w:t>
                  </w:r>
                </w:p>
              </w:tc>
              <w:tc>
                <w:tcPr>
                  <w:tcW w:w="987" w:type="dxa"/>
                  <w:tcBorders>
                    <w:top w:val="nil"/>
                    <w:left w:val="single" w:color="auto" w:sz="4" w:space="0"/>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3"/>
                      <w:szCs w:val="13"/>
                    </w:rPr>
                  </w:pPr>
                  <w:r>
                    <w:rPr>
                      <w:rFonts w:ascii="宋体" w:hAnsi="宋体" w:cs="Arial"/>
                      <w:b/>
                      <w:color w:val="000000"/>
                      <w:kern w:val="0"/>
                      <w:sz w:val="13"/>
                      <w:szCs w:val="13"/>
                    </w:rPr>
                    <w:t>23.67</w:t>
                  </w:r>
                </w:p>
              </w:tc>
              <w:tc>
                <w:tcPr>
                  <w:tcW w:w="1128" w:type="dxa"/>
                  <w:gridSpan w:val="2"/>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p>
              </w:tc>
              <w:tc>
                <w:tcPr>
                  <w:tcW w:w="987"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b/>
                      <w:color w:val="000000"/>
                      <w:kern w:val="0"/>
                      <w:sz w:val="13"/>
                      <w:szCs w:val="13"/>
                    </w:rPr>
                  </w:pPr>
                </w:p>
              </w:tc>
              <w:tc>
                <w:tcPr>
                  <w:tcW w:w="112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c>
                <w:tcPr>
                  <w:tcW w:w="84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c>
                <w:tcPr>
                  <w:tcW w:w="9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r>
            <w:tr>
              <w:tblPrEx>
                <w:tblCellMar>
                  <w:top w:w="0" w:type="dxa"/>
                  <w:left w:w="108" w:type="dxa"/>
                  <w:bottom w:w="0" w:type="dxa"/>
                  <w:right w:w="108" w:type="dxa"/>
                </w:tblCellMar>
              </w:tblPrEx>
              <w:trPr>
                <w:trHeight w:val="291" w:hRule="atLeast"/>
              </w:trPr>
              <w:tc>
                <w:tcPr>
                  <w:tcW w:w="1036" w:type="dxa"/>
                  <w:tcBorders>
                    <w:top w:val="nil"/>
                    <w:left w:val="single" w:color="000000" w:sz="8" w:space="0"/>
                    <w:bottom w:val="single" w:color="000000" w:sz="8" w:space="0"/>
                    <w:right w:val="single" w:color="auto" w:sz="4" w:space="0"/>
                  </w:tcBorders>
                  <w:shd w:val="clear" w:color="FFFFFF" w:fill="FFFFFF"/>
                  <w:noWrap/>
                  <w:vAlign w:val="center"/>
                </w:tcPr>
                <w:p>
                  <w:pPr>
                    <w:widowControl/>
                    <w:rPr>
                      <w:rFonts w:ascii="宋体" w:hAnsi="宋体" w:cs="Arial"/>
                      <w:color w:val="000000"/>
                      <w:kern w:val="0"/>
                      <w:sz w:val="13"/>
                      <w:szCs w:val="13"/>
                    </w:rPr>
                  </w:pPr>
                  <w:r>
                    <w:rPr>
                      <w:rFonts w:hint="eastAsia" w:ascii="宋体" w:hAnsi="宋体" w:cs="Arial"/>
                      <w:color w:val="000000"/>
                      <w:kern w:val="0"/>
                      <w:sz w:val="13"/>
                      <w:szCs w:val="13"/>
                    </w:rPr>
                    <w:t>　</w:t>
                  </w:r>
                  <w:r>
                    <w:rPr>
                      <w:rFonts w:ascii="宋体" w:hAnsi="宋体" w:cs="Arial"/>
                      <w:color w:val="000000"/>
                      <w:kern w:val="0"/>
                      <w:sz w:val="13"/>
                      <w:szCs w:val="13"/>
                    </w:rPr>
                    <w:t>2290400</w:t>
                  </w:r>
                </w:p>
              </w:tc>
              <w:tc>
                <w:tcPr>
                  <w:tcW w:w="142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cs="Arial"/>
                      <w:color w:val="000000"/>
                      <w:kern w:val="0"/>
                      <w:sz w:val="13"/>
                      <w:szCs w:val="13"/>
                    </w:rPr>
                  </w:pPr>
                  <w:r>
                    <w:rPr>
                      <w:rFonts w:hint="eastAsia" w:ascii="宋体" w:cs="Arial"/>
                      <w:color w:val="000000"/>
                      <w:kern w:val="0"/>
                      <w:sz w:val="13"/>
                      <w:szCs w:val="13"/>
                    </w:rPr>
                    <w:t>其他政府性基金及对应专项债务收入安排的支出</w:t>
                  </w:r>
                </w:p>
              </w:tc>
              <w:tc>
                <w:tcPr>
                  <w:tcW w:w="11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23.67</w:t>
                  </w:r>
                </w:p>
              </w:tc>
              <w:tc>
                <w:tcPr>
                  <w:tcW w:w="987" w:type="dxa"/>
                  <w:tcBorders>
                    <w:top w:val="nil"/>
                    <w:left w:val="single" w:color="auto" w:sz="4" w:space="0"/>
                    <w:bottom w:val="single" w:color="000000" w:sz="8" w:space="0"/>
                    <w:right w:val="single" w:color="000000" w:sz="4" w:space="0"/>
                  </w:tcBorders>
                  <w:shd w:val="clear" w:color="000000" w:fill="FFFFFF"/>
                  <w:noWrap/>
                  <w:vAlign w:val="center"/>
                </w:tcPr>
                <w:p>
                  <w:pPr>
                    <w:jc w:val="center"/>
                    <w:rPr>
                      <w:rFonts w:ascii="宋体" w:hAnsi="宋体" w:cs="Arial"/>
                      <w:color w:val="000000"/>
                      <w:kern w:val="0"/>
                      <w:sz w:val="13"/>
                      <w:szCs w:val="13"/>
                    </w:rPr>
                  </w:pPr>
                  <w:r>
                    <w:rPr>
                      <w:rFonts w:ascii="宋体" w:hAnsi="宋体" w:cs="Arial"/>
                      <w:color w:val="000000"/>
                      <w:kern w:val="0"/>
                      <w:sz w:val="13"/>
                      <w:szCs w:val="13"/>
                    </w:rPr>
                    <w:t>23.67</w:t>
                  </w:r>
                </w:p>
              </w:tc>
              <w:tc>
                <w:tcPr>
                  <w:tcW w:w="1128" w:type="dxa"/>
                  <w:gridSpan w:val="2"/>
                  <w:tcBorders>
                    <w:top w:val="nil"/>
                    <w:left w:val="nil"/>
                    <w:bottom w:val="single" w:color="000000" w:sz="8" w:space="0"/>
                    <w:right w:val="single" w:color="000000" w:sz="4" w:space="0"/>
                  </w:tcBorders>
                  <w:shd w:val="clear" w:color="000000" w:fill="FFFFFF"/>
                  <w:noWrap/>
                  <w:vAlign w:val="center"/>
                </w:tcPr>
                <w:p>
                  <w:pPr>
                    <w:widowControl/>
                    <w:jc w:val="center"/>
                    <w:rPr>
                      <w:rFonts w:ascii="宋体" w:cs="Arial"/>
                      <w:b/>
                      <w:color w:val="000000"/>
                      <w:kern w:val="0"/>
                      <w:sz w:val="13"/>
                      <w:szCs w:val="13"/>
                    </w:rPr>
                  </w:pPr>
                </w:p>
              </w:tc>
              <w:tc>
                <w:tcPr>
                  <w:tcW w:w="987" w:type="dxa"/>
                  <w:tcBorders>
                    <w:top w:val="nil"/>
                    <w:left w:val="nil"/>
                    <w:bottom w:val="single" w:color="000000" w:sz="8" w:space="0"/>
                    <w:right w:val="single" w:color="000000" w:sz="4" w:space="0"/>
                  </w:tcBorders>
                  <w:shd w:val="clear" w:color="000000" w:fill="FFFFFF"/>
                  <w:noWrap/>
                  <w:vAlign w:val="center"/>
                </w:tcPr>
                <w:p>
                  <w:pPr>
                    <w:widowControl/>
                    <w:jc w:val="center"/>
                    <w:rPr>
                      <w:rFonts w:ascii="宋体" w:cs="Arial"/>
                      <w:b/>
                      <w:color w:val="000000"/>
                      <w:kern w:val="0"/>
                      <w:sz w:val="13"/>
                      <w:szCs w:val="13"/>
                    </w:rPr>
                  </w:pPr>
                </w:p>
              </w:tc>
              <w:tc>
                <w:tcPr>
                  <w:tcW w:w="1128"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c>
                <w:tcPr>
                  <w:tcW w:w="847"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c>
                <w:tcPr>
                  <w:tcW w:w="98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3"/>
                      <w:szCs w:val="13"/>
                    </w:rPr>
                  </w:pPr>
                  <w:r>
                    <w:rPr>
                      <w:rFonts w:hint="eastAsia" w:ascii="宋体" w:hAnsi="宋体" w:cs="Arial"/>
                      <w:color w:val="000000"/>
                      <w:kern w:val="0"/>
                      <w:sz w:val="13"/>
                      <w:szCs w:val="13"/>
                    </w:rPr>
                    <w:t>　</w:t>
                  </w:r>
                </w:p>
              </w:tc>
            </w:tr>
          </w:tbl>
          <w:p>
            <w:pPr>
              <w:widowControl/>
              <w:jc w:val="left"/>
              <w:rPr>
                <w:rFonts w:ascii="Arial" w:hAnsi="Arial" w:cs="Arial"/>
                <w:color w:val="000000"/>
                <w:kern w:val="0"/>
                <w:sz w:val="13"/>
                <w:szCs w:val="13"/>
              </w:rPr>
            </w:pPr>
          </w:p>
        </w:tc>
      </w:tr>
    </w:tbl>
    <w:p>
      <w:pPr>
        <w:autoSpaceDE w:val="0"/>
        <w:autoSpaceDN w:val="0"/>
        <w:adjustRightInd w:val="0"/>
        <w:spacing w:line="560" w:lineRule="exact"/>
        <w:rPr>
          <w:rFonts w:ascii="仿宋" w:hAnsi="Times New Roman" w:eastAsia="仿宋" w:cs="仿宋"/>
          <w:b/>
          <w:sz w:val="13"/>
          <w:szCs w:val="13"/>
        </w:rPr>
      </w:pPr>
    </w:p>
    <w:p>
      <w:pPr>
        <w:autoSpaceDE w:val="0"/>
        <w:autoSpaceDN w:val="0"/>
        <w:adjustRightInd w:val="0"/>
        <w:spacing w:line="560" w:lineRule="exact"/>
        <w:jc w:val="center"/>
        <w:rPr>
          <w:rFonts w:ascii="仿宋" w:hAnsi="Times New Roman" w:eastAsia="仿宋" w:cs="仿宋"/>
          <w:b/>
          <w:sz w:val="32"/>
          <w:szCs w:val="32"/>
        </w:rPr>
      </w:pPr>
      <w:r>
        <w:rPr>
          <w:rFonts w:ascii="仿宋" w:hAnsi="Times New Roman" w:eastAsia="仿宋" w:cs="仿宋"/>
          <w:b/>
          <w:sz w:val="32"/>
          <w:szCs w:val="32"/>
        </w:rPr>
        <w:t>2017</w:t>
      </w:r>
      <w:r>
        <w:rPr>
          <w:rFonts w:hint="eastAsia" w:ascii="仿宋" w:hAnsi="Times New Roman" w:eastAsia="仿宋" w:cs="仿宋"/>
          <w:b/>
          <w:sz w:val="32"/>
          <w:szCs w:val="32"/>
        </w:rPr>
        <w:t>年度部门财政拨款收入支出决算总表</w:t>
      </w:r>
    </w:p>
    <w:tbl>
      <w:tblPr>
        <w:tblStyle w:val="5"/>
        <w:tblW w:w="17242" w:type="dxa"/>
        <w:tblInd w:w="93" w:type="dxa"/>
        <w:tblLayout w:type="autofit"/>
        <w:tblCellMar>
          <w:top w:w="0" w:type="dxa"/>
          <w:left w:w="108" w:type="dxa"/>
          <w:bottom w:w="0" w:type="dxa"/>
          <w:right w:w="108" w:type="dxa"/>
        </w:tblCellMar>
      </w:tblPr>
      <w:tblGrid>
        <w:gridCol w:w="10485"/>
        <w:gridCol w:w="376"/>
        <w:gridCol w:w="880"/>
        <w:gridCol w:w="2240"/>
        <w:gridCol w:w="440"/>
        <w:gridCol w:w="2821"/>
      </w:tblGrid>
      <w:tr>
        <w:tblPrEx>
          <w:tblCellMar>
            <w:top w:w="0" w:type="dxa"/>
            <w:left w:w="108" w:type="dxa"/>
            <w:bottom w:w="0" w:type="dxa"/>
            <w:right w:w="108" w:type="dxa"/>
          </w:tblCellMar>
        </w:tblPrEx>
        <w:trPr>
          <w:trHeight w:val="255" w:hRule="atLeast"/>
        </w:trPr>
        <w:tc>
          <w:tcPr>
            <w:tcW w:w="10485" w:type="dxa"/>
            <w:tcBorders>
              <w:top w:val="nil"/>
              <w:left w:val="nil"/>
              <w:bottom w:val="nil"/>
              <w:right w:val="nil"/>
            </w:tcBorders>
            <w:noWrap/>
            <w:vAlign w:val="bottom"/>
          </w:tcPr>
          <w:tbl>
            <w:tblPr>
              <w:tblStyle w:val="5"/>
              <w:tblW w:w="9668" w:type="dxa"/>
              <w:tblInd w:w="0" w:type="dxa"/>
              <w:tblLayout w:type="autofit"/>
              <w:tblCellMar>
                <w:top w:w="0" w:type="dxa"/>
                <w:left w:w="108" w:type="dxa"/>
                <w:bottom w:w="0" w:type="dxa"/>
                <w:right w:w="108" w:type="dxa"/>
              </w:tblCellMar>
            </w:tblPr>
            <w:tblGrid>
              <w:gridCol w:w="2133"/>
              <w:gridCol w:w="376"/>
              <w:gridCol w:w="904"/>
              <w:gridCol w:w="2417"/>
              <w:gridCol w:w="416"/>
              <w:gridCol w:w="1204"/>
              <w:gridCol w:w="1204"/>
              <w:gridCol w:w="1018"/>
            </w:tblGrid>
            <w:tr>
              <w:tblPrEx>
                <w:tblCellMar>
                  <w:top w:w="0" w:type="dxa"/>
                  <w:left w:w="108" w:type="dxa"/>
                  <w:bottom w:w="0" w:type="dxa"/>
                  <w:right w:w="108" w:type="dxa"/>
                </w:tblCellMar>
              </w:tblPrEx>
              <w:trPr>
                <w:trHeight w:val="256" w:hRule="atLeast"/>
              </w:trPr>
              <w:tc>
                <w:tcPr>
                  <w:tcW w:w="2133"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04"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17"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416"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426" w:type="dxa"/>
                  <w:gridSpan w:val="3"/>
                  <w:tcBorders>
                    <w:top w:val="nil"/>
                    <w:left w:val="nil"/>
                    <w:bottom w:val="nil"/>
                    <w:right w:val="nil"/>
                  </w:tcBorders>
                  <w:shd w:val="clear" w:color="000000" w:fill="FFFFFF"/>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公开</w:t>
                  </w:r>
                  <w:r>
                    <w:rPr>
                      <w:rFonts w:ascii="宋体" w:hAnsi="宋体" w:cs="Arial"/>
                      <w:color w:val="000000"/>
                      <w:kern w:val="0"/>
                      <w:sz w:val="16"/>
                      <w:szCs w:val="16"/>
                    </w:rPr>
                    <w:t>04</w:t>
                  </w:r>
                  <w:r>
                    <w:rPr>
                      <w:rFonts w:hint="eastAsia" w:ascii="宋体" w:hAnsi="宋体" w:cs="Arial"/>
                      <w:color w:val="000000"/>
                      <w:kern w:val="0"/>
                      <w:sz w:val="16"/>
                      <w:szCs w:val="16"/>
                    </w:rPr>
                    <w:t>表</w:t>
                  </w:r>
                </w:p>
              </w:tc>
            </w:tr>
            <w:tr>
              <w:tblPrEx>
                <w:tblCellMar>
                  <w:top w:w="0" w:type="dxa"/>
                  <w:left w:w="108" w:type="dxa"/>
                  <w:bottom w:w="0" w:type="dxa"/>
                  <w:right w:w="108" w:type="dxa"/>
                </w:tblCellMar>
              </w:tblPrEx>
              <w:trPr>
                <w:trHeight w:val="316" w:hRule="atLeast"/>
              </w:trPr>
              <w:tc>
                <w:tcPr>
                  <w:tcW w:w="3409" w:type="dxa"/>
                  <w:gridSpan w:val="3"/>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部门：温州市红十字会</w:t>
                  </w:r>
                </w:p>
              </w:tc>
              <w:tc>
                <w:tcPr>
                  <w:tcW w:w="2417"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416"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426" w:type="dxa"/>
                  <w:gridSpan w:val="3"/>
                  <w:tcBorders>
                    <w:top w:val="nil"/>
                    <w:left w:val="nil"/>
                    <w:bottom w:val="nil"/>
                    <w:right w:val="nil"/>
                  </w:tcBorders>
                  <w:shd w:val="clear" w:color="000000" w:fill="FFFFFF"/>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9" w:hRule="atLeast"/>
              </w:trPr>
              <w:tc>
                <w:tcPr>
                  <w:tcW w:w="3409"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收</w:t>
                  </w:r>
                  <w:r>
                    <w:rPr>
                      <w:rFonts w:ascii="宋体" w:hAnsi="宋体" w:cs="Arial"/>
                      <w:color w:val="000000"/>
                      <w:kern w:val="0"/>
                      <w:sz w:val="16"/>
                      <w:szCs w:val="16"/>
                    </w:rPr>
                    <w:t xml:space="preserve">     </w:t>
                  </w:r>
                  <w:r>
                    <w:rPr>
                      <w:rFonts w:hint="eastAsia" w:ascii="宋体" w:hAnsi="宋体" w:cs="Arial"/>
                      <w:color w:val="000000"/>
                      <w:kern w:val="0"/>
                      <w:sz w:val="16"/>
                      <w:szCs w:val="16"/>
                    </w:rPr>
                    <w:t>入</w:t>
                  </w:r>
                </w:p>
              </w:tc>
              <w:tc>
                <w:tcPr>
                  <w:tcW w:w="6259"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支</w:t>
                  </w:r>
                  <w:r>
                    <w:rPr>
                      <w:rFonts w:ascii="宋体" w:hAnsi="宋体" w:cs="Arial"/>
                      <w:color w:val="000000"/>
                      <w:kern w:val="0"/>
                      <w:sz w:val="16"/>
                      <w:szCs w:val="16"/>
                    </w:rPr>
                    <w:t xml:space="preserve">     </w:t>
                  </w:r>
                  <w:r>
                    <w:rPr>
                      <w:rFonts w:hint="eastAsia" w:ascii="宋体" w:hAnsi="宋体" w:cs="Arial"/>
                      <w:color w:val="000000"/>
                      <w:kern w:val="0"/>
                      <w:sz w:val="16"/>
                      <w:szCs w:val="16"/>
                    </w:rPr>
                    <w:t>出</w:t>
                  </w:r>
                </w:p>
              </w:tc>
            </w:tr>
            <w:tr>
              <w:tblPrEx>
                <w:tblCellMar>
                  <w:top w:w="0" w:type="dxa"/>
                  <w:left w:w="108" w:type="dxa"/>
                  <w:bottom w:w="0" w:type="dxa"/>
                  <w:right w:w="108" w:type="dxa"/>
                </w:tblCellMar>
              </w:tblPrEx>
              <w:trPr>
                <w:trHeight w:val="294" w:hRule="atLeast"/>
              </w:trPr>
              <w:tc>
                <w:tcPr>
                  <w:tcW w:w="2133"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w:t>
                  </w:r>
                  <w:r>
                    <w:rPr>
                      <w:rFonts w:ascii="宋体" w:hAnsi="宋体" w:cs="Arial"/>
                      <w:color w:val="000000"/>
                      <w:kern w:val="0"/>
                      <w:sz w:val="16"/>
                      <w:szCs w:val="16"/>
                    </w:rPr>
                    <w:t xml:space="preserve">    </w:t>
                  </w:r>
                  <w:r>
                    <w:rPr>
                      <w:rFonts w:hint="eastAsia" w:ascii="宋体" w:hAnsi="宋体" w:cs="Arial"/>
                      <w:color w:val="000000"/>
                      <w:kern w:val="0"/>
                      <w:sz w:val="16"/>
                      <w:szCs w:val="16"/>
                    </w:rPr>
                    <w:t>目</w:t>
                  </w:r>
                </w:p>
              </w:tc>
              <w:tc>
                <w:tcPr>
                  <w:tcW w:w="37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行次</w:t>
                  </w:r>
                </w:p>
              </w:tc>
              <w:tc>
                <w:tcPr>
                  <w:tcW w:w="90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决算数</w:t>
                  </w:r>
                </w:p>
              </w:tc>
              <w:tc>
                <w:tcPr>
                  <w:tcW w:w="241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项目（按功能分类）</w:t>
                  </w:r>
                </w:p>
              </w:tc>
              <w:tc>
                <w:tcPr>
                  <w:tcW w:w="41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行次</w:t>
                  </w:r>
                </w:p>
              </w:tc>
              <w:tc>
                <w:tcPr>
                  <w:tcW w:w="3426"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617" w:hRule="atLeast"/>
              </w:trPr>
              <w:tc>
                <w:tcPr>
                  <w:tcW w:w="213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7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90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241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小计</w:t>
                  </w:r>
                </w:p>
              </w:tc>
              <w:tc>
                <w:tcPr>
                  <w:tcW w:w="120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一般公共预算财政拨款</w:t>
                  </w:r>
                </w:p>
              </w:tc>
              <w:tc>
                <w:tcPr>
                  <w:tcW w:w="101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政府性基金预算财政拨款</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栏</w:t>
                  </w:r>
                  <w:r>
                    <w:rPr>
                      <w:rFonts w:ascii="宋体" w:hAnsi="宋体" w:cs="Arial"/>
                      <w:color w:val="000000"/>
                      <w:kern w:val="0"/>
                      <w:sz w:val="16"/>
                      <w:szCs w:val="16"/>
                    </w:rPr>
                    <w:t xml:space="preserve">    </w:t>
                  </w:r>
                  <w:r>
                    <w:rPr>
                      <w:rFonts w:hint="eastAsia" w:ascii="宋体" w:hAnsi="宋体" w:cs="Arial"/>
                      <w:color w:val="000000"/>
                      <w:kern w:val="0"/>
                      <w:sz w:val="16"/>
                      <w:szCs w:val="16"/>
                    </w:rPr>
                    <w:t>次</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90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栏</w:t>
                  </w:r>
                  <w:r>
                    <w:rPr>
                      <w:rFonts w:ascii="宋体" w:hAnsi="宋体" w:cs="Arial"/>
                      <w:color w:val="000000"/>
                      <w:kern w:val="0"/>
                      <w:sz w:val="16"/>
                      <w:szCs w:val="16"/>
                    </w:rPr>
                    <w:t xml:space="preserve">    </w:t>
                  </w:r>
                  <w:r>
                    <w:rPr>
                      <w:rFonts w:hint="eastAsia" w:ascii="宋体" w:hAnsi="宋体" w:cs="Arial"/>
                      <w:color w:val="000000"/>
                      <w:kern w:val="0"/>
                      <w:sz w:val="16"/>
                      <w:szCs w:val="16"/>
                    </w:rPr>
                    <w:t>次</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120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c>
                <w:tcPr>
                  <w:tcW w:w="120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w:t>
                  </w:r>
                </w:p>
              </w:tc>
              <w:tc>
                <w:tcPr>
                  <w:tcW w:w="101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一、一般公共预算财政拨款</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9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r>
                    <w:rPr>
                      <w:rFonts w:ascii="宋体" w:hAnsi="宋体" w:cs="Arial"/>
                      <w:color w:val="000000"/>
                      <w:kern w:val="0"/>
                      <w:sz w:val="16"/>
                      <w:szCs w:val="16"/>
                    </w:rPr>
                    <w:t>399.78</w:t>
                  </w: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一、一般公共服务支出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31</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二、政府性基金预算财政拨款</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c>
                <w:tcPr>
                  <w:tcW w:w="9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r>
                    <w:rPr>
                      <w:rFonts w:ascii="宋体" w:hAnsi="宋体" w:cs="Arial"/>
                      <w:color w:val="000000"/>
                      <w:kern w:val="0"/>
                      <w:sz w:val="16"/>
                      <w:szCs w:val="16"/>
                    </w:rPr>
                    <w:t>23.67</w:t>
                  </w: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二、外交支出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32</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三、国防支出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33</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四、公共安全支出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34</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五、教育支出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35</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6</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六、科学技术支出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36</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7</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七、文化体育与传媒支出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37</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八、社会保障和就业支出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38</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377.29</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377.29</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9</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九、医疗卫生与计划生育支出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39</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8.09</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8.09</w:t>
                  </w: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10</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十、节能环保支出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40</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11</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十一、城乡社区支出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41</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12</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十二、农林水支出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42</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13</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十三、交通运输支出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43</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14</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十四、资源勘探信息等支出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44</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15</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十五、商业服务业等支出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45</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16</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十六、金融支出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46</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17</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十七、援助其他地区支出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47</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18</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十八、国土海洋气象等支出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48</w:t>
                  </w: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19</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十九、住房保障支出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49</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14.40</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14.40</w:t>
                  </w: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20</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二十、粮油物资储备支出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50</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21</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二十一、其他支出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51</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23.67</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23.67</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22</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二十二、债务还本支出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52</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23</w:t>
                  </w:r>
                </w:p>
              </w:tc>
              <w:tc>
                <w:tcPr>
                  <w:tcW w:w="904"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二十三、债务付息支出</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53</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本年收入合计</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24</w:t>
                  </w:r>
                </w:p>
              </w:tc>
              <w:tc>
                <w:tcPr>
                  <w:tcW w:w="9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423.45</w:t>
                  </w: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本年支出合计</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77</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423.45</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399.78</w:t>
                  </w: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23.67</w:t>
                  </w: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25</w:t>
                  </w:r>
                </w:p>
              </w:tc>
              <w:tc>
                <w:tcPr>
                  <w:tcW w:w="9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78</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年初财政拨款结转和结余</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26</w:t>
                  </w:r>
                </w:p>
              </w:tc>
              <w:tc>
                <w:tcPr>
                  <w:tcW w:w="9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4.11</w:t>
                  </w: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年末财政拨款结转和结余</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79</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4.11</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4.11</w:t>
                  </w: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一、一般公共预算财政拨款</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27</w:t>
                  </w:r>
                </w:p>
              </w:tc>
              <w:tc>
                <w:tcPr>
                  <w:tcW w:w="904"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4.11</w:t>
                  </w: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80</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二、政府性基金预算财政拨款</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28</w:t>
                  </w:r>
                </w:p>
              </w:tc>
              <w:tc>
                <w:tcPr>
                  <w:tcW w:w="9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81</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29</w:t>
                  </w:r>
                </w:p>
              </w:tc>
              <w:tc>
                <w:tcPr>
                  <w:tcW w:w="9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2417"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4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82</w:t>
                  </w: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204"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018" w:type="dxa"/>
                  <w:tcBorders>
                    <w:top w:val="nil"/>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09" w:hRule="atLeast"/>
              </w:trPr>
              <w:tc>
                <w:tcPr>
                  <w:tcW w:w="2133"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总计</w:t>
                  </w:r>
                </w:p>
              </w:tc>
              <w:tc>
                <w:tcPr>
                  <w:tcW w:w="371"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30</w:t>
                  </w:r>
                </w:p>
              </w:tc>
              <w:tc>
                <w:tcPr>
                  <w:tcW w:w="904" w:type="dxa"/>
                  <w:tcBorders>
                    <w:top w:val="nil"/>
                    <w:left w:val="nil"/>
                    <w:bottom w:val="single" w:color="000000" w:sz="8"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427.56</w:t>
                  </w:r>
                </w:p>
              </w:tc>
              <w:tc>
                <w:tcPr>
                  <w:tcW w:w="2417"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总计</w:t>
                  </w:r>
                </w:p>
              </w:tc>
              <w:tc>
                <w:tcPr>
                  <w:tcW w:w="41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83</w:t>
                  </w:r>
                </w:p>
              </w:tc>
              <w:tc>
                <w:tcPr>
                  <w:tcW w:w="1204" w:type="dxa"/>
                  <w:tcBorders>
                    <w:top w:val="nil"/>
                    <w:left w:val="nil"/>
                    <w:bottom w:val="single" w:color="000000" w:sz="8"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427.56</w:t>
                  </w:r>
                </w:p>
              </w:tc>
              <w:tc>
                <w:tcPr>
                  <w:tcW w:w="1204" w:type="dxa"/>
                  <w:tcBorders>
                    <w:top w:val="nil"/>
                    <w:left w:val="nil"/>
                    <w:bottom w:val="single" w:color="000000" w:sz="8"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403.89</w:t>
                  </w:r>
                </w:p>
              </w:tc>
              <w:tc>
                <w:tcPr>
                  <w:tcW w:w="1018" w:type="dxa"/>
                  <w:tcBorders>
                    <w:top w:val="nil"/>
                    <w:left w:val="nil"/>
                    <w:bottom w:val="single" w:color="000000" w:sz="8"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23.67</w:t>
                  </w:r>
                </w:p>
              </w:tc>
            </w:tr>
          </w:tbl>
          <w:p>
            <w:pPr>
              <w:widowControl/>
              <w:jc w:val="left"/>
              <w:rPr>
                <w:rFonts w:ascii="Arial" w:hAnsi="Arial" w:cs="Arial"/>
                <w:color w:val="000000"/>
                <w:kern w:val="0"/>
                <w:sz w:val="20"/>
                <w:szCs w:val="20"/>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4"/>
                <w:szCs w:val="24"/>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宋体" w:hAnsi="宋体" w:cs="Arial"/>
                <w:color w:val="000000"/>
                <w:kern w:val="0"/>
                <w:sz w:val="20"/>
                <w:szCs w:val="20"/>
              </w:rPr>
              <w:t>公开</w:t>
            </w:r>
            <w:r>
              <w:rPr>
                <w:rFonts w:ascii="Arial" w:hAnsi="Arial" w:cs="Arial"/>
                <w:color w:val="000000"/>
                <w:kern w:val="0"/>
                <w:sz w:val="20"/>
                <w:szCs w:val="20"/>
              </w:rPr>
              <w:t>04</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315" w:hRule="atLeast"/>
        </w:trPr>
        <w:tc>
          <w:tcPr>
            <w:tcW w:w="10485" w:type="dxa"/>
            <w:tcBorders>
              <w:top w:val="nil"/>
              <w:left w:val="nil"/>
              <w:bottom w:val="nil"/>
              <w:right w:val="nil"/>
            </w:tcBorders>
            <w:noWrap/>
            <w:vAlign w:val="bottom"/>
          </w:tcPr>
          <w:p>
            <w:pPr>
              <w:widowControl/>
              <w:jc w:val="left"/>
              <w:rPr>
                <w:rFonts w:ascii="宋体" w:cs="Arial"/>
                <w:color w:val="000000"/>
                <w:kern w:val="0"/>
                <w:sz w:val="24"/>
                <w:szCs w:val="24"/>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Arial" w:hAnsi="Arial" w:cs="Arial"/>
                <w:color w:val="000000"/>
                <w:kern w:val="0"/>
                <w:sz w:val="20"/>
                <w:szCs w:val="20"/>
              </w:rPr>
              <w:t>金额单位：万元</w:t>
            </w:r>
          </w:p>
        </w:tc>
      </w:tr>
    </w:tbl>
    <w:p>
      <w:pPr>
        <w:autoSpaceDE w:val="0"/>
        <w:autoSpaceDN w:val="0"/>
        <w:adjustRightInd w:val="0"/>
        <w:spacing w:line="560" w:lineRule="exact"/>
        <w:ind w:firstLine="627"/>
        <w:jc w:val="center"/>
        <w:rPr>
          <w:rFonts w:ascii="宋体" w:cs="仿宋"/>
          <w:sz w:val="28"/>
          <w:szCs w:val="28"/>
        </w:rPr>
      </w:pPr>
      <w:r>
        <w:rPr>
          <w:rFonts w:ascii="宋体" w:hAnsi="宋体" w:cs="仿宋"/>
          <w:b/>
          <w:sz w:val="32"/>
          <w:szCs w:val="32"/>
        </w:rPr>
        <w:t>2017</w:t>
      </w:r>
      <w:r>
        <w:rPr>
          <w:rFonts w:hint="eastAsia" w:ascii="宋体" w:hAnsi="宋体" w:cs="仿宋"/>
          <w:b/>
          <w:sz w:val="32"/>
          <w:szCs w:val="32"/>
        </w:rPr>
        <w:t>年度部门</w:t>
      </w:r>
      <w:r>
        <w:rPr>
          <w:rFonts w:hint="eastAsia" w:ascii="仿宋" w:hAnsi="Times New Roman" w:eastAsia="仿宋" w:cs="仿宋"/>
          <w:b/>
          <w:sz w:val="32"/>
          <w:szCs w:val="32"/>
        </w:rPr>
        <w:t>一般公共预算</w:t>
      </w:r>
      <w:r>
        <w:rPr>
          <w:rFonts w:hint="eastAsia" w:ascii="宋体" w:hAnsi="宋体" w:cs="仿宋"/>
          <w:b/>
          <w:sz w:val="32"/>
          <w:szCs w:val="32"/>
        </w:rPr>
        <w:t>财政拨款支出决算表</w:t>
      </w:r>
    </w:p>
    <w:tbl>
      <w:tblPr>
        <w:tblStyle w:val="5"/>
        <w:tblW w:w="9395" w:type="dxa"/>
        <w:tblInd w:w="93" w:type="dxa"/>
        <w:tblLayout w:type="autofit"/>
        <w:tblCellMar>
          <w:top w:w="0" w:type="dxa"/>
          <w:left w:w="108" w:type="dxa"/>
          <w:bottom w:w="0" w:type="dxa"/>
          <w:right w:w="108" w:type="dxa"/>
        </w:tblCellMar>
      </w:tblPr>
      <w:tblGrid>
        <w:gridCol w:w="480"/>
        <w:gridCol w:w="480"/>
        <w:gridCol w:w="375"/>
        <w:gridCol w:w="2029"/>
        <w:gridCol w:w="1512"/>
        <w:gridCol w:w="1513"/>
        <w:gridCol w:w="1513"/>
        <w:gridCol w:w="1513"/>
      </w:tblGrid>
      <w:tr>
        <w:tblPrEx>
          <w:tblCellMar>
            <w:top w:w="0" w:type="dxa"/>
            <w:left w:w="108" w:type="dxa"/>
            <w:bottom w:w="0" w:type="dxa"/>
            <w:right w:w="108" w:type="dxa"/>
          </w:tblCellMar>
        </w:tblPrEx>
        <w:trPr>
          <w:trHeight w:val="255" w:hRule="atLeast"/>
        </w:trPr>
        <w:tc>
          <w:tcPr>
            <w:tcW w:w="3315" w:type="dxa"/>
            <w:gridSpan w:val="4"/>
            <w:tcBorders>
              <w:top w:val="nil"/>
              <w:left w:val="nil"/>
              <w:bottom w:val="nil"/>
              <w:right w:val="nil"/>
            </w:tcBorders>
            <w:shd w:val="clear" w:color="000000" w:fill="FFFFFF"/>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1520"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520"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040" w:type="dxa"/>
            <w:gridSpan w:val="2"/>
            <w:tcBorders>
              <w:top w:val="nil"/>
              <w:left w:val="nil"/>
              <w:bottom w:val="nil"/>
              <w:right w:val="nil"/>
            </w:tcBorders>
            <w:shd w:val="clear" w:color="000000" w:fill="FFFFFF"/>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公开</w:t>
            </w:r>
            <w:r>
              <w:rPr>
                <w:rFonts w:ascii="宋体" w:hAnsi="宋体" w:cs="Arial"/>
                <w:color w:val="000000"/>
                <w:kern w:val="0"/>
                <w:sz w:val="16"/>
                <w:szCs w:val="16"/>
              </w:rPr>
              <w:t>05</w:t>
            </w:r>
            <w:r>
              <w:rPr>
                <w:rFonts w:hint="eastAsia" w:ascii="宋体" w:hAnsi="宋体" w:cs="Arial"/>
                <w:color w:val="000000"/>
                <w:kern w:val="0"/>
                <w:sz w:val="16"/>
                <w:szCs w:val="16"/>
              </w:rPr>
              <w:t>表</w:t>
            </w:r>
          </w:p>
        </w:tc>
      </w:tr>
      <w:tr>
        <w:tblPrEx>
          <w:tblCellMar>
            <w:top w:w="0" w:type="dxa"/>
            <w:left w:w="108" w:type="dxa"/>
            <w:bottom w:w="0" w:type="dxa"/>
            <w:right w:w="108" w:type="dxa"/>
          </w:tblCellMar>
        </w:tblPrEx>
        <w:trPr>
          <w:trHeight w:val="270" w:hRule="atLeast"/>
        </w:trPr>
        <w:tc>
          <w:tcPr>
            <w:tcW w:w="3315" w:type="dxa"/>
            <w:gridSpan w:val="4"/>
            <w:tcBorders>
              <w:top w:val="nil"/>
              <w:left w:val="nil"/>
              <w:bottom w:val="single" w:color="000000" w:sz="8" w:space="0"/>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部门：温州市红十字会</w:t>
            </w:r>
          </w:p>
        </w:tc>
        <w:tc>
          <w:tcPr>
            <w:tcW w:w="1520" w:type="dxa"/>
            <w:tcBorders>
              <w:top w:val="nil"/>
              <w:left w:val="nil"/>
              <w:bottom w:val="nil"/>
              <w:right w:val="nil"/>
            </w:tcBorders>
            <w:shd w:val="clear" w:color="000000" w:fill="FFFFFF"/>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1520" w:type="dxa"/>
            <w:tcBorders>
              <w:top w:val="nil"/>
              <w:left w:val="nil"/>
              <w:bottom w:val="nil"/>
              <w:right w:val="nil"/>
            </w:tcBorders>
            <w:shd w:val="clear" w:color="000000" w:fill="FFFFFF"/>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040" w:type="dxa"/>
            <w:gridSpan w:val="2"/>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3315" w:type="dxa"/>
            <w:gridSpan w:val="4"/>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合计</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基本支出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备注</w:t>
            </w:r>
          </w:p>
        </w:tc>
      </w:tr>
      <w:tr>
        <w:tblPrEx>
          <w:tblCellMar>
            <w:top w:w="0" w:type="dxa"/>
            <w:left w:w="108" w:type="dxa"/>
            <w:bottom w:w="0" w:type="dxa"/>
            <w:right w:w="108" w:type="dxa"/>
          </w:tblCellMar>
        </w:tblPrEx>
        <w:trPr>
          <w:trHeight w:val="308" w:hRule="atLeast"/>
        </w:trPr>
        <w:tc>
          <w:tcPr>
            <w:tcW w:w="1275"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支出功能分类科目编码</w:t>
            </w:r>
          </w:p>
        </w:tc>
        <w:tc>
          <w:tcPr>
            <w:tcW w:w="204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127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20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r>
      <w:tr>
        <w:tblPrEx>
          <w:tblCellMar>
            <w:top w:w="0" w:type="dxa"/>
            <w:left w:w="108" w:type="dxa"/>
            <w:bottom w:w="0" w:type="dxa"/>
            <w:right w:w="108" w:type="dxa"/>
          </w:tblCellMar>
        </w:tblPrEx>
        <w:trPr>
          <w:trHeight w:val="208" w:hRule="atLeast"/>
        </w:trPr>
        <w:tc>
          <w:tcPr>
            <w:tcW w:w="127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20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款</w:t>
            </w:r>
          </w:p>
        </w:tc>
        <w:tc>
          <w:tcPr>
            <w:tcW w:w="311"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w:t>
            </w:r>
          </w:p>
        </w:tc>
        <w:tc>
          <w:tcPr>
            <w:tcW w:w="20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栏次</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11"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20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合计</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399.78</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224.10</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175.68</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420" w:hRule="atLeast"/>
        </w:trPr>
        <w:tc>
          <w:tcPr>
            <w:tcW w:w="1275" w:type="dxa"/>
            <w:gridSpan w:val="3"/>
            <w:tcBorders>
              <w:top w:val="single" w:color="000000" w:sz="4" w:space="0"/>
              <w:left w:val="single" w:color="000000" w:sz="8" w:space="0"/>
              <w:bottom w:val="single" w:color="auto" w:sz="4" w:space="0"/>
              <w:right w:val="single" w:color="000000" w:sz="4" w:space="0"/>
            </w:tcBorders>
            <w:shd w:val="clear" w:color="000000" w:fill="FFFFFF"/>
            <w:noWrap/>
            <w:vAlign w:val="center"/>
          </w:tcPr>
          <w:p>
            <w:pPr>
              <w:widowControl/>
              <w:rPr>
                <w:rFonts w:ascii="宋体" w:hAnsi="宋体" w:cs="Arial"/>
                <w:b/>
                <w:color w:val="000000"/>
                <w:kern w:val="0"/>
                <w:sz w:val="16"/>
                <w:szCs w:val="16"/>
              </w:rPr>
            </w:pPr>
            <w:r>
              <w:rPr>
                <w:rFonts w:hint="eastAsia" w:ascii="宋体" w:hAnsi="宋体" w:cs="Arial"/>
                <w:b/>
                <w:color w:val="000000"/>
                <w:kern w:val="0"/>
                <w:sz w:val="16"/>
                <w:szCs w:val="16"/>
              </w:rPr>
              <w:t>　</w:t>
            </w:r>
            <w:r>
              <w:rPr>
                <w:rFonts w:ascii="宋体" w:hAnsi="宋体" w:cs="Arial"/>
                <w:b/>
                <w:color w:val="000000"/>
                <w:kern w:val="0"/>
                <w:sz w:val="16"/>
                <w:szCs w:val="16"/>
              </w:rPr>
              <w:t>208</w:t>
            </w:r>
          </w:p>
        </w:tc>
        <w:tc>
          <w:tcPr>
            <w:tcW w:w="2040" w:type="dxa"/>
            <w:tcBorders>
              <w:top w:val="nil"/>
              <w:left w:val="nil"/>
              <w:bottom w:val="single" w:color="auto" w:sz="4" w:space="0"/>
              <w:right w:val="single" w:color="000000" w:sz="4" w:space="0"/>
            </w:tcBorders>
            <w:shd w:val="clear" w:color="000000" w:fill="FFFFFF"/>
            <w:noWrap/>
            <w:vAlign w:val="center"/>
          </w:tcPr>
          <w:p>
            <w:pPr>
              <w:widowControl/>
              <w:rPr>
                <w:rFonts w:ascii="宋体" w:cs="Arial"/>
                <w:b/>
                <w:color w:val="000000"/>
                <w:kern w:val="0"/>
                <w:sz w:val="16"/>
                <w:szCs w:val="16"/>
              </w:rPr>
            </w:pPr>
            <w:r>
              <w:rPr>
                <w:rFonts w:hint="eastAsia" w:ascii="宋体" w:hAnsi="宋体" w:cs="Arial"/>
                <w:b/>
                <w:color w:val="000000"/>
                <w:kern w:val="0"/>
                <w:sz w:val="16"/>
                <w:szCs w:val="16"/>
              </w:rPr>
              <w:t>社会保障和就业支出</w:t>
            </w:r>
          </w:p>
        </w:tc>
        <w:tc>
          <w:tcPr>
            <w:tcW w:w="1520" w:type="dxa"/>
            <w:tcBorders>
              <w:top w:val="nil"/>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377.29</w:t>
            </w:r>
          </w:p>
        </w:tc>
        <w:tc>
          <w:tcPr>
            <w:tcW w:w="1520" w:type="dxa"/>
            <w:tcBorders>
              <w:top w:val="nil"/>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201.61</w:t>
            </w:r>
          </w:p>
        </w:tc>
        <w:tc>
          <w:tcPr>
            <w:tcW w:w="1520" w:type="dxa"/>
            <w:tcBorders>
              <w:top w:val="nil"/>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175.68</w:t>
            </w:r>
          </w:p>
        </w:tc>
        <w:tc>
          <w:tcPr>
            <w:tcW w:w="1520"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Cs w:val="21"/>
              </w:rPr>
            </w:pPr>
          </w:p>
        </w:tc>
      </w:tr>
      <w:tr>
        <w:tblPrEx>
          <w:tblCellMar>
            <w:top w:w="0" w:type="dxa"/>
            <w:left w:w="108" w:type="dxa"/>
            <w:bottom w:w="0" w:type="dxa"/>
            <w:right w:w="108" w:type="dxa"/>
          </w:tblCellMar>
        </w:tblPrEx>
        <w:trPr>
          <w:trHeight w:val="330" w:hRule="atLeast"/>
        </w:trPr>
        <w:tc>
          <w:tcPr>
            <w:tcW w:w="1275" w:type="dxa"/>
            <w:gridSpan w:val="3"/>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r>
              <w:rPr>
                <w:rFonts w:ascii="宋体" w:hAnsi="宋体" w:cs="Arial"/>
                <w:b/>
                <w:color w:val="000000"/>
                <w:kern w:val="0"/>
                <w:sz w:val="16"/>
                <w:szCs w:val="16"/>
              </w:rPr>
              <w:t>20805</w:t>
            </w:r>
          </w:p>
        </w:tc>
        <w:tc>
          <w:tcPr>
            <w:tcW w:w="204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b/>
                <w:color w:val="000000"/>
                <w:kern w:val="0"/>
                <w:sz w:val="16"/>
                <w:szCs w:val="16"/>
              </w:rPr>
            </w:pPr>
            <w:r>
              <w:rPr>
                <w:rFonts w:hint="eastAsia" w:ascii="宋体" w:hAnsi="宋体" w:cs="Arial"/>
                <w:b/>
                <w:color w:val="000000"/>
                <w:kern w:val="0"/>
                <w:sz w:val="16"/>
                <w:szCs w:val="16"/>
              </w:rPr>
              <w:t>行政事业单位离退休</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r>
              <w:rPr>
                <w:rFonts w:ascii="宋体" w:hAnsi="宋体" w:cs="Arial"/>
                <w:b/>
                <w:color w:val="000000"/>
                <w:kern w:val="0"/>
                <w:sz w:val="16"/>
                <w:szCs w:val="16"/>
              </w:rPr>
              <w:t>0.54</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r>
              <w:rPr>
                <w:rFonts w:ascii="宋体" w:hAnsi="宋体" w:cs="Arial"/>
                <w:b/>
                <w:color w:val="000000"/>
                <w:kern w:val="0"/>
                <w:sz w:val="16"/>
                <w:szCs w:val="16"/>
              </w:rPr>
              <w:t>0.54</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00" w:hRule="atLeast"/>
        </w:trPr>
        <w:tc>
          <w:tcPr>
            <w:tcW w:w="1275" w:type="dxa"/>
            <w:gridSpan w:val="3"/>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2080505</w:t>
            </w:r>
          </w:p>
        </w:tc>
        <w:tc>
          <w:tcPr>
            <w:tcW w:w="204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6"/>
                <w:szCs w:val="16"/>
              </w:rPr>
              <w:t>机关事业单位基本养老保险缴费支出</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0.38</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0.38</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Cs w:val="21"/>
              </w:rPr>
            </w:pPr>
          </w:p>
        </w:tc>
      </w:tr>
      <w:tr>
        <w:tblPrEx>
          <w:tblCellMar>
            <w:top w:w="0" w:type="dxa"/>
            <w:left w:w="108" w:type="dxa"/>
            <w:bottom w:w="0" w:type="dxa"/>
            <w:right w:w="108" w:type="dxa"/>
          </w:tblCellMar>
        </w:tblPrEx>
        <w:trPr>
          <w:trHeight w:val="300" w:hRule="atLeast"/>
        </w:trPr>
        <w:tc>
          <w:tcPr>
            <w:tcW w:w="1275" w:type="dxa"/>
            <w:gridSpan w:val="3"/>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2080506</w:t>
            </w:r>
          </w:p>
        </w:tc>
        <w:tc>
          <w:tcPr>
            <w:tcW w:w="204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6"/>
                <w:szCs w:val="16"/>
              </w:rPr>
              <w:t>机关事业单位职业年金缴费支出★</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0.16</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0.16</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Cs w:val="21"/>
              </w:rPr>
            </w:pPr>
          </w:p>
        </w:tc>
      </w:tr>
      <w:tr>
        <w:tblPrEx>
          <w:tblCellMar>
            <w:top w:w="0" w:type="dxa"/>
            <w:left w:w="108" w:type="dxa"/>
            <w:bottom w:w="0" w:type="dxa"/>
            <w:right w:w="108" w:type="dxa"/>
          </w:tblCellMar>
        </w:tblPrEx>
        <w:trPr>
          <w:trHeight w:val="308" w:hRule="atLeast"/>
        </w:trPr>
        <w:tc>
          <w:tcPr>
            <w:tcW w:w="1275"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　</w:t>
            </w:r>
            <w:r>
              <w:rPr>
                <w:rFonts w:ascii="宋体" w:hAnsi="宋体" w:cs="Arial"/>
                <w:b/>
                <w:color w:val="000000"/>
                <w:kern w:val="0"/>
                <w:sz w:val="16"/>
                <w:szCs w:val="16"/>
              </w:rPr>
              <w:t>20805</w:t>
            </w:r>
          </w:p>
        </w:tc>
        <w:tc>
          <w:tcPr>
            <w:tcW w:w="2040"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b/>
                <w:color w:val="000000"/>
                <w:kern w:val="0"/>
                <w:sz w:val="16"/>
                <w:szCs w:val="16"/>
              </w:rPr>
            </w:pPr>
            <w:r>
              <w:rPr>
                <w:rFonts w:hint="eastAsia" w:ascii="宋体" w:hAnsi="宋体" w:cs="Arial"/>
                <w:b/>
                <w:color w:val="000000"/>
                <w:kern w:val="0"/>
                <w:sz w:val="16"/>
                <w:szCs w:val="16"/>
              </w:rPr>
              <w:t>红十字事业</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376.75</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201.07</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175.68</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08" w:hRule="atLeast"/>
        </w:trPr>
        <w:tc>
          <w:tcPr>
            <w:tcW w:w="1275"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r>
              <w:rPr>
                <w:rFonts w:ascii="宋体" w:hAnsi="宋体" w:cs="Arial"/>
                <w:color w:val="000000"/>
                <w:kern w:val="0"/>
                <w:sz w:val="16"/>
                <w:szCs w:val="16"/>
              </w:rPr>
              <w:t>2081601</w:t>
            </w:r>
          </w:p>
        </w:tc>
        <w:tc>
          <w:tcPr>
            <w:tcW w:w="2040"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行政运行</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201.07</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201.07</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08" w:hRule="atLeast"/>
        </w:trPr>
        <w:tc>
          <w:tcPr>
            <w:tcW w:w="1275"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r>
              <w:rPr>
                <w:rFonts w:ascii="宋体" w:hAnsi="宋体" w:cs="Arial"/>
                <w:color w:val="000000"/>
                <w:kern w:val="0"/>
                <w:sz w:val="16"/>
                <w:szCs w:val="16"/>
              </w:rPr>
              <w:t>2081602</w:t>
            </w:r>
          </w:p>
        </w:tc>
        <w:tc>
          <w:tcPr>
            <w:tcW w:w="2040"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一般行政管理事务</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25.70</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25.70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08" w:hRule="atLeast"/>
        </w:trPr>
        <w:tc>
          <w:tcPr>
            <w:tcW w:w="1275" w:type="dxa"/>
            <w:gridSpan w:val="3"/>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r>
              <w:rPr>
                <w:rFonts w:ascii="宋体" w:hAnsi="宋体" w:cs="Arial"/>
                <w:color w:val="000000"/>
                <w:kern w:val="0"/>
                <w:sz w:val="16"/>
                <w:szCs w:val="16"/>
              </w:rPr>
              <w:t>2081699</w:t>
            </w:r>
          </w:p>
        </w:tc>
        <w:tc>
          <w:tcPr>
            <w:tcW w:w="2040"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其他红十字事业支出</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149.98</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149.98</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308" w:hRule="atLeast"/>
        </w:trPr>
        <w:tc>
          <w:tcPr>
            <w:tcW w:w="1275" w:type="dxa"/>
            <w:gridSpan w:val="3"/>
            <w:tcBorders>
              <w:top w:val="single" w:color="000000"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　</w:t>
            </w:r>
            <w:r>
              <w:rPr>
                <w:rFonts w:ascii="宋体" w:hAnsi="宋体" w:cs="Arial"/>
                <w:b/>
                <w:color w:val="000000"/>
                <w:kern w:val="0"/>
                <w:sz w:val="16"/>
                <w:szCs w:val="16"/>
              </w:rPr>
              <w:t>210</w:t>
            </w:r>
          </w:p>
        </w:tc>
        <w:tc>
          <w:tcPr>
            <w:tcW w:w="2040"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cs="Arial"/>
                <w:b/>
                <w:color w:val="000000"/>
                <w:kern w:val="0"/>
                <w:sz w:val="16"/>
                <w:szCs w:val="16"/>
              </w:rPr>
            </w:pPr>
            <w:r>
              <w:rPr>
                <w:rFonts w:hint="eastAsia" w:ascii="宋体" w:hAnsi="宋体" w:cs="Arial"/>
                <w:b/>
                <w:color w:val="000000"/>
                <w:kern w:val="0"/>
                <w:sz w:val="16"/>
                <w:szCs w:val="16"/>
              </w:rPr>
              <w:t>医疗卫生与计划生育支出</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8.09</w:t>
            </w:r>
          </w:p>
        </w:tc>
        <w:tc>
          <w:tcPr>
            <w:tcW w:w="1520" w:type="dxa"/>
            <w:tcBorders>
              <w:top w:val="nil"/>
              <w:left w:val="nil"/>
              <w:bottom w:val="single" w:color="000000"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8.09</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190" w:hRule="atLeast"/>
        </w:trPr>
        <w:tc>
          <w:tcPr>
            <w:tcW w:w="1275" w:type="dxa"/>
            <w:gridSpan w:val="3"/>
            <w:tcBorders>
              <w:top w:val="single" w:color="000000"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　</w:t>
            </w:r>
            <w:r>
              <w:rPr>
                <w:rFonts w:ascii="宋体" w:hAnsi="宋体" w:cs="Arial"/>
                <w:b/>
                <w:color w:val="000000"/>
                <w:kern w:val="0"/>
                <w:sz w:val="16"/>
                <w:szCs w:val="16"/>
              </w:rPr>
              <w:t>21005</w:t>
            </w:r>
          </w:p>
        </w:tc>
        <w:tc>
          <w:tcPr>
            <w:tcW w:w="2040"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cs="Arial"/>
                <w:b/>
                <w:color w:val="000000"/>
                <w:kern w:val="0"/>
                <w:sz w:val="16"/>
                <w:szCs w:val="16"/>
              </w:rPr>
            </w:pPr>
            <w:r>
              <w:rPr>
                <w:rFonts w:hint="eastAsia" w:ascii="宋体" w:hAnsi="宋体" w:cs="Arial"/>
                <w:b/>
                <w:color w:val="000000"/>
                <w:kern w:val="0"/>
                <w:sz w:val="16"/>
                <w:szCs w:val="16"/>
              </w:rPr>
              <w:t>医疗保障</w:t>
            </w:r>
          </w:p>
        </w:tc>
        <w:tc>
          <w:tcPr>
            <w:tcW w:w="1520" w:type="dxa"/>
            <w:tcBorders>
              <w:top w:val="nil"/>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8.09</w:t>
            </w:r>
          </w:p>
        </w:tc>
        <w:tc>
          <w:tcPr>
            <w:tcW w:w="1520" w:type="dxa"/>
            <w:tcBorders>
              <w:top w:val="nil"/>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8.09</w:t>
            </w:r>
          </w:p>
        </w:tc>
        <w:tc>
          <w:tcPr>
            <w:tcW w:w="1520" w:type="dxa"/>
            <w:tcBorders>
              <w:top w:val="nil"/>
              <w:left w:val="nil"/>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520"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200" w:hRule="atLeast"/>
        </w:trPr>
        <w:tc>
          <w:tcPr>
            <w:tcW w:w="1275" w:type="dxa"/>
            <w:gridSpan w:val="3"/>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　</w:t>
            </w:r>
            <w:r>
              <w:rPr>
                <w:rFonts w:ascii="宋体" w:hAnsi="宋体" w:cs="Arial"/>
                <w:color w:val="000000"/>
                <w:kern w:val="0"/>
                <w:sz w:val="16"/>
                <w:szCs w:val="16"/>
              </w:rPr>
              <w:t>2100501</w:t>
            </w:r>
          </w:p>
        </w:tc>
        <w:tc>
          <w:tcPr>
            <w:tcW w:w="204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行政单位医疗</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8.09</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8.09</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210" w:hRule="atLeast"/>
        </w:trPr>
        <w:tc>
          <w:tcPr>
            <w:tcW w:w="1275" w:type="dxa"/>
            <w:gridSpan w:val="3"/>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r>
              <w:rPr>
                <w:rFonts w:hint="eastAsia" w:ascii="宋体" w:hAnsi="宋体" w:cs="Arial"/>
                <w:b/>
                <w:color w:val="000000"/>
                <w:kern w:val="0"/>
                <w:sz w:val="16"/>
                <w:szCs w:val="16"/>
              </w:rPr>
              <w:t>　</w:t>
            </w:r>
            <w:r>
              <w:rPr>
                <w:rFonts w:ascii="宋体" w:hAnsi="宋体" w:cs="Arial"/>
                <w:b/>
                <w:color w:val="000000"/>
                <w:kern w:val="0"/>
                <w:sz w:val="16"/>
                <w:szCs w:val="16"/>
              </w:rPr>
              <w:t>221</w:t>
            </w:r>
          </w:p>
        </w:tc>
        <w:tc>
          <w:tcPr>
            <w:tcW w:w="204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b/>
                <w:color w:val="000000"/>
                <w:kern w:val="0"/>
                <w:sz w:val="16"/>
                <w:szCs w:val="16"/>
              </w:rPr>
            </w:pPr>
            <w:r>
              <w:rPr>
                <w:rFonts w:hint="eastAsia" w:ascii="宋体" w:hAnsi="宋体" w:cs="Arial"/>
                <w:b/>
                <w:color w:val="000000"/>
                <w:kern w:val="0"/>
                <w:sz w:val="16"/>
                <w:szCs w:val="16"/>
              </w:rPr>
              <w:t>住房保障支出</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14.40</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14.40</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宋体" w:cs="Arial"/>
                <w:color w:val="000000"/>
                <w:kern w:val="0"/>
                <w:sz w:val="16"/>
                <w:szCs w:val="16"/>
              </w:rPr>
            </w:pP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Cs w:val="21"/>
              </w:rPr>
            </w:pPr>
            <w:r>
              <w:rPr>
                <w:rFonts w:hint="eastAsia" w:ascii="宋体" w:hAnsi="宋体" w:cs="Arial"/>
                <w:color w:val="000000"/>
                <w:kern w:val="0"/>
                <w:szCs w:val="21"/>
              </w:rPr>
              <w:t>　</w:t>
            </w:r>
          </w:p>
        </w:tc>
      </w:tr>
      <w:tr>
        <w:tblPrEx>
          <w:tblCellMar>
            <w:top w:w="0" w:type="dxa"/>
            <w:left w:w="108" w:type="dxa"/>
            <w:bottom w:w="0" w:type="dxa"/>
            <w:right w:w="108" w:type="dxa"/>
          </w:tblCellMar>
        </w:tblPrEx>
        <w:trPr>
          <w:trHeight w:val="240" w:hRule="atLeast"/>
        </w:trPr>
        <w:tc>
          <w:tcPr>
            <w:tcW w:w="1275" w:type="dxa"/>
            <w:gridSpan w:val="3"/>
            <w:tcBorders>
              <w:top w:val="single" w:color="auto" w:sz="4" w:space="0"/>
              <w:left w:val="single" w:color="000000" w:sz="8" w:space="0"/>
              <w:bottom w:val="single" w:color="auto" w:sz="4" w:space="0"/>
              <w:right w:val="single" w:color="000000" w:sz="4" w:space="0"/>
            </w:tcBorders>
            <w:shd w:val="clear" w:color="000000" w:fill="FFFFFF"/>
            <w:noWrap/>
            <w:vAlign w:val="center"/>
          </w:tcPr>
          <w:p>
            <w:pPr>
              <w:widowControl/>
              <w:jc w:val="center"/>
              <w:rPr>
                <w:rFonts w:ascii="宋体" w:hAnsi="宋体" w:cs="Arial"/>
                <w:b/>
                <w:color w:val="000000"/>
                <w:kern w:val="0"/>
                <w:sz w:val="16"/>
                <w:szCs w:val="16"/>
              </w:rPr>
            </w:pPr>
            <w:r>
              <w:rPr>
                <w:rFonts w:ascii="宋体" w:hAnsi="宋体" w:cs="Arial"/>
                <w:b/>
                <w:color w:val="000000"/>
                <w:kern w:val="0"/>
                <w:sz w:val="16"/>
                <w:szCs w:val="16"/>
              </w:rPr>
              <w:t>22102</w:t>
            </w:r>
          </w:p>
        </w:tc>
        <w:tc>
          <w:tcPr>
            <w:tcW w:w="2040"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b/>
                <w:color w:val="000000"/>
                <w:kern w:val="0"/>
                <w:sz w:val="16"/>
                <w:szCs w:val="16"/>
              </w:rPr>
            </w:pPr>
            <w:r>
              <w:rPr>
                <w:rFonts w:hint="eastAsia" w:ascii="宋体" w:hAnsi="宋体" w:cs="Arial"/>
                <w:b/>
                <w:color w:val="000000"/>
                <w:kern w:val="0"/>
                <w:sz w:val="16"/>
                <w:szCs w:val="16"/>
              </w:rPr>
              <w:t>住房改革支出</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14.40</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14.40</w:t>
            </w: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center"/>
              <w:rPr>
                <w:rFonts w:ascii="宋体" w:cs="Arial"/>
                <w:color w:val="000000"/>
                <w:kern w:val="0"/>
                <w:sz w:val="16"/>
                <w:szCs w:val="16"/>
              </w:rPr>
            </w:pPr>
          </w:p>
        </w:tc>
        <w:tc>
          <w:tcPr>
            <w:tcW w:w="1520" w:type="dxa"/>
            <w:tcBorders>
              <w:top w:val="single" w:color="auto" w:sz="4" w:space="0"/>
              <w:left w:val="nil"/>
              <w:bottom w:val="single" w:color="auto" w:sz="4" w:space="0"/>
              <w:right w:val="single" w:color="000000" w:sz="4" w:space="0"/>
            </w:tcBorders>
            <w:shd w:val="clear" w:color="000000" w:fill="FFFFFF"/>
            <w:noWrap/>
            <w:vAlign w:val="center"/>
          </w:tcPr>
          <w:p>
            <w:pPr>
              <w:jc w:val="right"/>
              <w:rPr>
                <w:rFonts w:ascii="宋体" w:cs="Arial"/>
                <w:color w:val="000000"/>
                <w:kern w:val="0"/>
                <w:szCs w:val="21"/>
              </w:rPr>
            </w:pPr>
          </w:p>
        </w:tc>
      </w:tr>
      <w:tr>
        <w:tblPrEx>
          <w:tblCellMar>
            <w:top w:w="0" w:type="dxa"/>
            <w:left w:w="108" w:type="dxa"/>
            <w:bottom w:w="0" w:type="dxa"/>
            <w:right w:w="108" w:type="dxa"/>
          </w:tblCellMar>
        </w:tblPrEx>
        <w:trPr>
          <w:trHeight w:val="290" w:hRule="atLeast"/>
        </w:trPr>
        <w:tc>
          <w:tcPr>
            <w:tcW w:w="1275" w:type="dxa"/>
            <w:gridSpan w:val="3"/>
            <w:tcBorders>
              <w:top w:val="single" w:color="auto" w:sz="4" w:space="0"/>
              <w:left w:val="single" w:color="000000" w:sz="8" w:space="0"/>
              <w:bottom w:val="single" w:color="000000" w:sz="4"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2210201</w:t>
            </w:r>
          </w:p>
        </w:tc>
        <w:tc>
          <w:tcPr>
            <w:tcW w:w="2040" w:type="dxa"/>
            <w:tcBorders>
              <w:top w:val="single" w:color="auto" w:sz="4" w:space="0"/>
              <w:left w:val="nil"/>
              <w:bottom w:val="single" w:color="000000" w:sz="4" w:space="0"/>
              <w:right w:val="single" w:color="000000" w:sz="4" w:space="0"/>
            </w:tcBorders>
            <w:shd w:val="clear" w:color="000000" w:fill="FFFFFF"/>
            <w:noWrap/>
            <w:vAlign w:val="center"/>
          </w:tcPr>
          <w:p>
            <w:pPr>
              <w:jc w:val="center"/>
              <w:rPr>
                <w:rFonts w:ascii="宋体" w:cs="Arial"/>
                <w:color w:val="000000"/>
                <w:kern w:val="0"/>
                <w:sz w:val="16"/>
                <w:szCs w:val="16"/>
              </w:rPr>
            </w:pPr>
            <w:r>
              <w:rPr>
                <w:rFonts w:hint="eastAsia" w:ascii="宋体" w:hAnsi="宋体" w:cs="Arial"/>
                <w:color w:val="000000"/>
                <w:kern w:val="0"/>
                <w:sz w:val="16"/>
                <w:szCs w:val="16"/>
              </w:rPr>
              <w:t>住房公积金</w:t>
            </w:r>
          </w:p>
        </w:tc>
        <w:tc>
          <w:tcPr>
            <w:tcW w:w="1520" w:type="dxa"/>
            <w:tcBorders>
              <w:top w:val="single" w:color="auto" w:sz="4" w:space="0"/>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14.22</w:t>
            </w:r>
          </w:p>
        </w:tc>
        <w:tc>
          <w:tcPr>
            <w:tcW w:w="1520" w:type="dxa"/>
            <w:tcBorders>
              <w:top w:val="single" w:color="auto" w:sz="4" w:space="0"/>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14.22</w:t>
            </w:r>
          </w:p>
        </w:tc>
        <w:tc>
          <w:tcPr>
            <w:tcW w:w="1520" w:type="dxa"/>
            <w:tcBorders>
              <w:top w:val="single" w:color="auto" w:sz="4" w:space="0"/>
              <w:left w:val="nil"/>
              <w:bottom w:val="single" w:color="000000" w:sz="4" w:space="0"/>
              <w:right w:val="single" w:color="000000" w:sz="4" w:space="0"/>
            </w:tcBorders>
            <w:shd w:val="clear" w:color="000000" w:fill="FFFFFF"/>
            <w:noWrap/>
            <w:vAlign w:val="center"/>
          </w:tcPr>
          <w:p>
            <w:pPr>
              <w:jc w:val="center"/>
              <w:rPr>
                <w:rFonts w:ascii="宋体" w:hAnsi="宋体" w:cs="Arial"/>
                <w:color w:val="000000"/>
                <w:kern w:val="0"/>
                <w:sz w:val="16"/>
                <w:szCs w:val="16"/>
              </w:rPr>
            </w:pPr>
          </w:p>
        </w:tc>
        <w:tc>
          <w:tcPr>
            <w:tcW w:w="1520" w:type="dxa"/>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Arial"/>
                <w:color w:val="000000"/>
                <w:kern w:val="0"/>
                <w:szCs w:val="21"/>
              </w:rPr>
            </w:pPr>
          </w:p>
        </w:tc>
      </w:tr>
      <w:tr>
        <w:tblPrEx>
          <w:tblCellMar>
            <w:top w:w="0" w:type="dxa"/>
            <w:left w:w="108" w:type="dxa"/>
            <w:bottom w:w="0" w:type="dxa"/>
            <w:right w:w="108" w:type="dxa"/>
          </w:tblCellMar>
        </w:tblPrEx>
        <w:trPr>
          <w:trHeight w:val="308" w:hRule="atLeast"/>
        </w:trPr>
        <w:tc>
          <w:tcPr>
            <w:tcW w:w="1275" w:type="dxa"/>
            <w:gridSpan w:val="3"/>
            <w:tcBorders>
              <w:top w:val="single" w:color="000000" w:sz="4" w:space="0"/>
              <w:left w:val="single" w:color="000000" w:sz="8" w:space="0"/>
              <w:bottom w:val="single" w:color="000000" w:sz="8" w:space="0"/>
              <w:right w:val="single" w:color="000000" w:sz="4" w:space="0"/>
            </w:tcBorders>
            <w:shd w:val="clear" w:color="000000"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2210203</w:t>
            </w:r>
          </w:p>
        </w:tc>
        <w:tc>
          <w:tcPr>
            <w:tcW w:w="2040" w:type="dxa"/>
            <w:tcBorders>
              <w:top w:val="nil"/>
              <w:left w:val="nil"/>
              <w:bottom w:val="single" w:color="000000" w:sz="8" w:space="0"/>
              <w:right w:val="single" w:color="000000" w:sz="4" w:space="0"/>
            </w:tcBorders>
            <w:shd w:val="clear" w:color="000000" w:fill="FFFFFF"/>
            <w:noWrap/>
            <w:vAlign w:val="center"/>
          </w:tcPr>
          <w:p>
            <w:pPr>
              <w:jc w:val="center"/>
              <w:rPr>
                <w:rFonts w:ascii="宋体" w:cs="Arial"/>
                <w:color w:val="000000"/>
                <w:kern w:val="0"/>
                <w:sz w:val="16"/>
                <w:szCs w:val="16"/>
              </w:rPr>
            </w:pPr>
            <w:r>
              <w:rPr>
                <w:rFonts w:hint="eastAsia" w:ascii="宋体" w:hAnsi="宋体" w:cs="Arial"/>
                <w:color w:val="000000"/>
                <w:kern w:val="0"/>
                <w:sz w:val="16"/>
                <w:szCs w:val="16"/>
              </w:rPr>
              <w:t>购房补贴</w:t>
            </w:r>
          </w:p>
        </w:tc>
        <w:tc>
          <w:tcPr>
            <w:tcW w:w="1520" w:type="dxa"/>
            <w:tcBorders>
              <w:top w:val="nil"/>
              <w:left w:val="nil"/>
              <w:bottom w:val="single" w:color="000000" w:sz="8"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0.18</w:t>
            </w:r>
          </w:p>
        </w:tc>
        <w:tc>
          <w:tcPr>
            <w:tcW w:w="1520" w:type="dxa"/>
            <w:tcBorders>
              <w:top w:val="nil"/>
              <w:left w:val="nil"/>
              <w:bottom w:val="single" w:color="000000" w:sz="8" w:space="0"/>
              <w:right w:val="single" w:color="000000" w:sz="4" w:space="0"/>
            </w:tcBorders>
            <w:shd w:val="clear" w:color="000000" w:fill="FFFFFF"/>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0.18</w:t>
            </w:r>
          </w:p>
        </w:tc>
        <w:tc>
          <w:tcPr>
            <w:tcW w:w="1520" w:type="dxa"/>
            <w:tcBorders>
              <w:top w:val="nil"/>
              <w:left w:val="nil"/>
              <w:bottom w:val="single" w:color="000000" w:sz="8" w:space="0"/>
              <w:right w:val="single" w:color="000000" w:sz="4" w:space="0"/>
            </w:tcBorders>
            <w:shd w:val="clear" w:color="000000" w:fill="FFFFFF"/>
            <w:noWrap/>
            <w:vAlign w:val="center"/>
          </w:tcPr>
          <w:p>
            <w:pPr>
              <w:jc w:val="center"/>
              <w:rPr>
                <w:rFonts w:ascii="宋体" w:hAnsi="宋体" w:cs="Arial"/>
                <w:color w:val="000000"/>
                <w:kern w:val="0"/>
                <w:sz w:val="16"/>
                <w:szCs w:val="16"/>
              </w:rPr>
            </w:pPr>
          </w:p>
        </w:tc>
        <w:tc>
          <w:tcPr>
            <w:tcW w:w="1520" w:type="dxa"/>
            <w:tcBorders>
              <w:top w:val="nil"/>
              <w:left w:val="nil"/>
              <w:bottom w:val="single" w:color="000000" w:sz="8" w:space="0"/>
              <w:right w:val="single" w:color="000000" w:sz="4" w:space="0"/>
            </w:tcBorders>
            <w:shd w:val="clear" w:color="000000" w:fill="FFFFFF"/>
            <w:noWrap/>
            <w:vAlign w:val="center"/>
          </w:tcPr>
          <w:p>
            <w:pPr>
              <w:jc w:val="right"/>
              <w:rPr>
                <w:rFonts w:ascii="宋体" w:cs="Arial"/>
                <w:color w:val="000000"/>
                <w:kern w:val="0"/>
                <w:szCs w:val="21"/>
              </w:rPr>
            </w:pP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tbl>
      <w:tblPr>
        <w:tblStyle w:val="5"/>
        <w:tblW w:w="9516" w:type="dxa"/>
        <w:tblInd w:w="93" w:type="dxa"/>
        <w:tblLayout w:type="autofit"/>
        <w:tblCellMar>
          <w:top w:w="0" w:type="dxa"/>
          <w:left w:w="108" w:type="dxa"/>
          <w:bottom w:w="0" w:type="dxa"/>
          <w:right w:w="108" w:type="dxa"/>
        </w:tblCellMar>
      </w:tblPr>
      <w:tblGrid>
        <w:gridCol w:w="919"/>
        <w:gridCol w:w="2477"/>
        <w:gridCol w:w="1202"/>
        <w:gridCol w:w="919"/>
        <w:gridCol w:w="1762"/>
        <w:gridCol w:w="2237"/>
      </w:tblGrid>
      <w:tr>
        <w:tblPrEx>
          <w:tblCellMar>
            <w:top w:w="0" w:type="dxa"/>
            <w:left w:w="108" w:type="dxa"/>
            <w:bottom w:w="0" w:type="dxa"/>
            <w:right w:w="108" w:type="dxa"/>
          </w:tblCellMar>
        </w:tblPrEx>
        <w:trPr>
          <w:trHeight w:val="545" w:hRule="atLeast"/>
        </w:trPr>
        <w:tc>
          <w:tcPr>
            <w:tcW w:w="9516" w:type="dxa"/>
            <w:gridSpan w:val="6"/>
            <w:tcBorders>
              <w:top w:val="nil"/>
              <w:left w:val="nil"/>
              <w:bottom w:val="nil"/>
              <w:right w:val="nil"/>
            </w:tcBorders>
            <w:noWrap/>
            <w:vAlign w:val="bottom"/>
          </w:tcPr>
          <w:p>
            <w:pPr>
              <w:widowControl/>
              <w:jc w:val="center"/>
              <w:rPr>
                <w:rFonts w:ascii="仿宋" w:hAnsi="Times New Roman" w:eastAsia="仿宋" w:cs="仿宋"/>
                <w:b/>
                <w:sz w:val="32"/>
                <w:szCs w:val="32"/>
              </w:rPr>
            </w:pPr>
            <w:r>
              <w:rPr>
                <w:rFonts w:ascii="仿宋" w:hAnsi="Times New Roman" w:eastAsia="仿宋" w:cs="仿宋"/>
                <w:b/>
                <w:sz w:val="32"/>
                <w:szCs w:val="32"/>
              </w:rPr>
              <w:t>2017</w:t>
            </w:r>
            <w:r>
              <w:rPr>
                <w:rFonts w:hint="eastAsia" w:ascii="仿宋" w:hAnsi="Times New Roman" w:eastAsia="仿宋" w:cs="仿宋"/>
                <w:b/>
                <w:sz w:val="32"/>
                <w:szCs w:val="32"/>
              </w:rPr>
              <w:t>年度部门一般公共预算基本支出决算表</w:t>
            </w:r>
          </w:p>
        </w:tc>
      </w:tr>
      <w:tr>
        <w:tblPrEx>
          <w:tblCellMar>
            <w:top w:w="0" w:type="dxa"/>
            <w:left w:w="108" w:type="dxa"/>
            <w:bottom w:w="0" w:type="dxa"/>
            <w:right w:w="108" w:type="dxa"/>
          </w:tblCellMar>
        </w:tblPrEx>
        <w:trPr>
          <w:trHeight w:val="258" w:hRule="atLeast"/>
        </w:trPr>
        <w:tc>
          <w:tcPr>
            <w:tcW w:w="919"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2476"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202"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919"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762"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2237" w:type="dxa"/>
            <w:tcBorders>
              <w:top w:val="nil"/>
              <w:left w:val="nil"/>
              <w:bottom w:val="nil"/>
              <w:right w:val="nil"/>
            </w:tcBorders>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公开</w:t>
            </w:r>
            <w:r>
              <w:rPr>
                <w:rFonts w:ascii="宋体" w:hAnsi="宋体" w:cs="Arial"/>
                <w:color w:val="000000"/>
                <w:kern w:val="0"/>
                <w:sz w:val="16"/>
                <w:szCs w:val="16"/>
              </w:rPr>
              <w:t>06</w:t>
            </w:r>
            <w:r>
              <w:rPr>
                <w:rFonts w:hint="eastAsia" w:ascii="宋体" w:hAnsi="宋体" w:cs="Arial"/>
                <w:color w:val="000000"/>
                <w:kern w:val="0"/>
                <w:sz w:val="16"/>
                <w:szCs w:val="16"/>
              </w:rPr>
              <w:t>表</w:t>
            </w:r>
          </w:p>
        </w:tc>
      </w:tr>
      <w:tr>
        <w:tblPrEx>
          <w:tblCellMar>
            <w:top w:w="0" w:type="dxa"/>
            <w:left w:w="108" w:type="dxa"/>
            <w:bottom w:w="0" w:type="dxa"/>
            <w:right w:w="108" w:type="dxa"/>
          </w:tblCellMar>
        </w:tblPrEx>
        <w:trPr>
          <w:trHeight w:val="258" w:hRule="atLeast"/>
        </w:trPr>
        <w:tc>
          <w:tcPr>
            <w:tcW w:w="919" w:type="dxa"/>
            <w:tcBorders>
              <w:top w:val="nil"/>
              <w:left w:val="nil"/>
              <w:bottom w:val="single" w:color="auto" w:sz="4" w:space="0"/>
              <w:right w:val="nil"/>
            </w:tcBorders>
            <w:noWrap/>
            <w:vAlign w:val="bottom"/>
          </w:tcPr>
          <w:p>
            <w:pPr>
              <w:jc w:val="center"/>
              <w:rPr>
                <w:rFonts w:ascii="宋体" w:cs="Arial"/>
                <w:color w:val="000000"/>
                <w:kern w:val="0"/>
                <w:sz w:val="16"/>
                <w:szCs w:val="16"/>
              </w:rPr>
            </w:pPr>
            <w:r>
              <w:rPr>
                <w:rFonts w:hint="eastAsia" w:ascii="宋体" w:hAnsi="宋体" w:cs="Arial"/>
                <w:color w:val="000000"/>
                <w:kern w:val="0"/>
                <w:sz w:val="16"/>
                <w:szCs w:val="16"/>
              </w:rPr>
              <w:t>部门：</w:t>
            </w:r>
          </w:p>
        </w:tc>
        <w:tc>
          <w:tcPr>
            <w:tcW w:w="2476" w:type="dxa"/>
            <w:tcBorders>
              <w:top w:val="nil"/>
              <w:left w:val="nil"/>
              <w:bottom w:val="single" w:color="auto" w:sz="4" w:space="0"/>
              <w:right w:val="nil"/>
            </w:tcBorders>
            <w:noWrap/>
            <w:vAlign w:val="center"/>
          </w:tcPr>
          <w:p>
            <w:pPr>
              <w:rPr>
                <w:rFonts w:ascii="宋体" w:cs="Arial"/>
                <w:color w:val="000000"/>
                <w:kern w:val="0"/>
                <w:sz w:val="16"/>
                <w:szCs w:val="16"/>
              </w:rPr>
            </w:pPr>
            <w:r>
              <w:rPr>
                <w:rFonts w:hint="eastAsia" w:ascii="宋体" w:hAnsi="宋体" w:cs="Arial"/>
                <w:color w:val="000000"/>
                <w:kern w:val="0"/>
                <w:sz w:val="16"/>
                <w:szCs w:val="16"/>
              </w:rPr>
              <w:t>温州市红十字会</w:t>
            </w:r>
          </w:p>
        </w:tc>
        <w:tc>
          <w:tcPr>
            <w:tcW w:w="1202" w:type="dxa"/>
            <w:tcBorders>
              <w:top w:val="nil"/>
              <w:left w:val="nil"/>
              <w:bottom w:val="single" w:color="auto" w:sz="4" w:space="0"/>
              <w:right w:val="nil"/>
            </w:tcBorders>
            <w:noWrap/>
            <w:vAlign w:val="bottom"/>
          </w:tcPr>
          <w:p>
            <w:pPr>
              <w:jc w:val="center"/>
              <w:rPr>
                <w:rFonts w:ascii="宋体" w:cs="Arial"/>
                <w:color w:val="000000"/>
                <w:kern w:val="0"/>
                <w:sz w:val="16"/>
                <w:szCs w:val="16"/>
              </w:rPr>
            </w:pPr>
          </w:p>
        </w:tc>
        <w:tc>
          <w:tcPr>
            <w:tcW w:w="919" w:type="dxa"/>
            <w:tcBorders>
              <w:top w:val="nil"/>
              <w:left w:val="nil"/>
              <w:bottom w:val="single" w:color="auto" w:sz="4" w:space="0"/>
              <w:right w:val="nil"/>
            </w:tcBorders>
            <w:noWrap/>
            <w:vAlign w:val="bottom"/>
          </w:tcPr>
          <w:p>
            <w:pPr>
              <w:jc w:val="center"/>
              <w:rPr>
                <w:rFonts w:ascii="宋体" w:cs="Arial"/>
                <w:color w:val="000000"/>
                <w:kern w:val="0"/>
                <w:sz w:val="16"/>
                <w:szCs w:val="16"/>
              </w:rPr>
            </w:pPr>
          </w:p>
        </w:tc>
        <w:tc>
          <w:tcPr>
            <w:tcW w:w="1762" w:type="dxa"/>
            <w:tcBorders>
              <w:top w:val="nil"/>
              <w:left w:val="nil"/>
              <w:bottom w:val="single" w:color="auto" w:sz="4" w:space="0"/>
              <w:right w:val="nil"/>
            </w:tcBorders>
            <w:noWrap/>
            <w:vAlign w:val="bottom"/>
          </w:tcPr>
          <w:p>
            <w:pPr>
              <w:jc w:val="center"/>
              <w:rPr>
                <w:rFonts w:ascii="宋体" w:cs="Arial"/>
                <w:color w:val="000000"/>
                <w:kern w:val="0"/>
                <w:sz w:val="16"/>
                <w:szCs w:val="16"/>
              </w:rPr>
            </w:pPr>
          </w:p>
        </w:tc>
        <w:tc>
          <w:tcPr>
            <w:tcW w:w="2237" w:type="dxa"/>
            <w:tcBorders>
              <w:top w:val="nil"/>
              <w:left w:val="nil"/>
              <w:bottom w:val="single" w:color="auto" w:sz="4" w:space="0"/>
              <w:right w:val="nil"/>
            </w:tcBorders>
            <w:noWrap/>
            <w:vAlign w:val="bottom"/>
          </w:tcPr>
          <w:p>
            <w:pPr>
              <w:jc w:val="center"/>
              <w:rPr>
                <w:rFonts w:ascii="宋体" w:cs="Arial"/>
                <w:color w:val="000000"/>
                <w:kern w:val="0"/>
                <w:sz w:val="16"/>
                <w:szCs w:val="16"/>
              </w:rPr>
            </w:pPr>
            <w:r>
              <w:rPr>
                <w:rFonts w:hint="eastAsia" w:ascii="宋体" w:hAnsi="宋体" w:cs="Arial"/>
                <w:color w:val="000000"/>
                <w:kern w:val="0"/>
                <w:sz w:val="16"/>
                <w:szCs w:val="16"/>
              </w:rPr>
              <w:t>金额单位：万</w:t>
            </w:r>
            <w:bookmarkStart w:id="0" w:name="_GoBack"/>
            <w:bookmarkEnd w:id="0"/>
            <w:r>
              <w:rPr>
                <w:rFonts w:hint="eastAsia" w:ascii="宋体" w:hAnsi="宋体" w:cs="Arial"/>
                <w:color w:val="000000"/>
                <w:kern w:val="0"/>
                <w:sz w:val="16"/>
                <w:szCs w:val="16"/>
              </w:rPr>
              <w:t>元</w:t>
            </w:r>
          </w:p>
        </w:tc>
      </w:tr>
      <w:tr>
        <w:tblPrEx>
          <w:tblCellMar>
            <w:top w:w="0" w:type="dxa"/>
            <w:left w:w="108" w:type="dxa"/>
            <w:bottom w:w="0" w:type="dxa"/>
            <w:right w:w="108" w:type="dxa"/>
          </w:tblCellMar>
        </w:tblPrEx>
        <w:trPr>
          <w:trHeight w:val="311" w:hRule="atLeast"/>
        </w:trPr>
        <w:tc>
          <w:tcPr>
            <w:tcW w:w="4597"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人员经费</w:t>
            </w:r>
          </w:p>
        </w:tc>
        <w:tc>
          <w:tcPr>
            <w:tcW w:w="4918"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公用经费</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247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120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cs="Arial"/>
                <w:color w:val="000000"/>
                <w:kern w:val="0"/>
                <w:sz w:val="16"/>
                <w:szCs w:val="16"/>
              </w:rPr>
            </w:pPr>
            <w:r>
              <w:rPr>
                <w:rFonts w:hint="eastAsia" w:ascii="宋体" w:hAnsi="宋体" w:cs="Arial"/>
                <w:color w:val="000000"/>
                <w:kern w:val="0"/>
                <w:sz w:val="16"/>
                <w:szCs w:val="16"/>
              </w:rPr>
              <w:t>金额</w:t>
            </w:r>
          </w:p>
        </w:tc>
        <w:tc>
          <w:tcPr>
            <w:tcW w:w="919"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1762"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2237"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jc w:val="center"/>
              <w:rPr>
                <w:rFonts w:ascii="宋体" w:cs="Arial"/>
                <w:color w:val="000000"/>
                <w:kern w:val="0"/>
                <w:sz w:val="16"/>
                <w:szCs w:val="16"/>
              </w:rPr>
            </w:pPr>
            <w:r>
              <w:rPr>
                <w:rFonts w:hint="eastAsia" w:ascii="宋体" w:hAnsi="宋体" w:cs="Arial"/>
                <w:color w:val="000000"/>
                <w:kern w:val="0"/>
                <w:sz w:val="16"/>
                <w:szCs w:val="16"/>
              </w:rPr>
              <w:t>金额</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301</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工资福利支出</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172.89</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302</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商品和服务支出</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27.52</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30101</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基本工资</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36.12</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30201</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办公费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2.75</w:t>
            </w:r>
          </w:p>
        </w:tc>
      </w:tr>
      <w:tr>
        <w:tblPrEx>
          <w:tblCellMar>
            <w:top w:w="0" w:type="dxa"/>
            <w:left w:w="108" w:type="dxa"/>
            <w:bottom w:w="0" w:type="dxa"/>
            <w:right w:w="108" w:type="dxa"/>
          </w:tblCellMar>
        </w:tblPrEx>
        <w:trPr>
          <w:trHeight w:val="28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30102</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津贴补贴</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36.38</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30202</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印刷费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0.97</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30103</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奖金</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49.56</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30203</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咨询费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30104</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其他社会保障缴费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1.26</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30204</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手续费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30106</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伙食补助费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2.79</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30205</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水费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30107</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绩效工资</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30206</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电费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56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30108</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机关事业单位基本养老保险缴费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18.75</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30207</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邮电费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2.12</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30109</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职业年金缴费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7.50</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30208</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取暖费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30199</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其他工资福利支出</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20.53</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30209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物业管理费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0.05</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303</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对个人和家庭的补助</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b/>
                <w:color w:val="000000"/>
                <w:kern w:val="0"/>
                <w:sz w:val="16"/>
                <w:szCs w:val="16"/>
              </w:rPr>
            </w:pPr>
            <w:r>
              <w:rPr>
                <w:rFonts w:ascii="宋体" w:hAnsi="宋体" w:cs="Arial"/>
                <w:b/>
                <w:color w:val="000000"/>
                <w:kern w:val="0"/>
                <w:sz w:val="16"/>
                <w:szCs w:val="16"/>
              </w:rPr>
              <w:t>23.69</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30211</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差旅费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2.11</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30301</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离休费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30212</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因公出国（境）费用</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30302</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退休费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30213</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维修</w:t>
            </w:r>
            <w:r>
              <w:rPr>
                <w:rFonts w:ascii="宋体" w:hAnsi="宋体" w:cs="Arial"/>
                <w:color w:val="000000"/>
                <w:kern w:val="0"/>
                <w:sz w:val="16"/>
                <w:szCs w:val="16"/>
              </w:rPr>
              <w:t>(</w:t>
            </w:r>
            <w:r>
              <w:rPr>
                <w:rFonts w:hint="eastAsia" w:ascii="宋体" w:hAnsi="宋体" w:cs="Arial"/>
                <w:color w:val="000000"/>
                <w:kern w:val="0"/>
                <w:sz w:val="16"/>
                <w:szCs w:val="16"/>
              </w:rPr>
              <w:t>护</w:t>
            </w:r>
            <w:r>
              <w:rPr>
                <w:rFonts w:ascii="宋体" w:hAnsi="宋体" w:cs="Arial"/>
                <w:color w:val="000000"/>
                <w:kern w:val="0"/>
                <w:sz w:val="16"/>
                <w:szCs w:val="16"/>
              </w:rPr>
              <w:t>)</w:t>
            </w:r>
            <w:r>
              <w:rPr>
                <w:rFonts w:hint="eastAsia" w:ascii="宋体" w:hAnsi="宋体" w:cs="Arial"/>
                <w:color w:val="000000"/>
                <w:kern w:val="0"/>
                <w:sz w:val="16"/>
                <w:szCs w:val="16"/>
              </w:rPr>
              <w:t>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30303</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退职（役）费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30214</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租赁费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30304</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抚恤金</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30215</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会议费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1.18</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30305</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生活补助</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30216</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培训费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3.16</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30306</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救济费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30217</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公务接待费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0.56</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30307</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医疗费</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8.09</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30218</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专用材料费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30308</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助学金</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30224</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被装购置费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30309</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奖励金</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30225</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专用燃料费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30310</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生产补贴</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30226</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劳务费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0.31</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30311</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住房公积金</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14.22</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30227</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委托业务费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30312</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提租补贴</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30228</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工会经费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30313</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购房补贴</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0.18</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30229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福利费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1.03</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30314</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采暖补贴</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30231</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公务用车运行维护费</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30315</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物业服务补贴</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30239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其他交通费用</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13.10</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30399</w:t>
            </w:r>
          </w:p>
        </w:tc>
        <w:tc>
          <w:tcPr>
            <w:tcW w:w="2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其他对个人和家庭的补助支出</w:t>
            </w:r>
          </w:p>
        </w:tc>
        <w:tc>
          <w:tcPr>
            <w:tcW w:w="1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1.20</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30240</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税金及附加费用</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Arial"/>
                <w:color w:val="000000"/>
                <w:kern w:val="0"/>
                <w:sz w:val="16"/>
                <w:szCs w:val="16"/>
              </w:rPr>
            </w:pP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Arial"/>
                <w:color w:val="000000"/>
                <w:kern w:val="0"/>
                <w:sz w:val="16"/>
                <w:szCs w:val="16"/>
              </w:rPr>
            </w:pP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30299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其他商品和服务支出</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Arial"/>
                <w:color w:val="000000"/>
                <w:kern w:val="0"/>
                <w:sz w:val="16"/>
                <w:szCs w:val="16"/>
              </w:rPr>
            </w:pPr>
            <w:r>
              <w:rPr>
                <w:rFonts w:ascii="宋体" w:hAnsi="宋体" w:cs="Arial"/>
                <w:color w:val="000000"/>
                <w:kern w:val="0"/>
                <w:sz w:val="16"/>
                <w:szCs w:val="16"/>
              </w:rPr>
              <w:t>0.18</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304</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对事业单位的补贴</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cs="Arial"/>
                <w:sz w:val="20"/>
                <w:szCs w:val="20"/>
              </w:rPr>
            </w:pPr>
            <w:r>
              <w:rPr>
                <w:rFonts w:hint="eastAsia" w:cs="Arial"/>
                <w:sz w:val="20"/>
                <w:szCs w:val="20"/>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30401</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企业政策性补贴</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cs="Arial"/>
                <w:sz w:val="20"/>
                <w:szCs w:val="20"/>
              </w:rPr>
            </w:pPr>
            <w:r>
              <w:rPr>
                <w:rFonts w:hint="eastAsia" w:cs="Arial"/>
                <w:sz w:val="20"/>
                <w:szCs w:val="20"/>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30402</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事业单位补贴</w:t>
            </w:r>
          </w:p>
        </w:tc>
        <w:tc>
          <w:tcPr>
            <w:tcW w:w="2237" w:type="dxa"/>
            <w:tcBorders>
              <w:top w:val="single" w:color="auto" w:sz="4" w:space="0"/>
              <w:left w:val="single" w:color="auto" w:sz="4" w:space="0"/>
              <w:bottom w:val="single" w:color="auto" w:sz="4" w:space="0"/>
              <w:right w:val="single" w:color="auto" w:sz="4" w:space="0"/>
            </w:tcBorders>
            <w:noWrap/>
            <w:vAlign w:val="center"/>
          </w:tcPr>
          <w:p>
            <w:pPr>
              <w:jc w:val="right"/>
              <w:rPr>
                <w:rFonts w:ascii="宋体" w:cs="Arial"/>
                <w:sz w:val="20"/>
                <w:szCs w:val="20"/>
              </w:rPr>
            </w:pPr>
            <w:r>
              <w:rPr>
                <w:rFonts w:hint="eastAsia" w:cs="Arial"/>
                <w:sz w:val="20"/>
                <w:szCs w:val="20"/>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30403</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财政贴息</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30499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其他对企事业单位的补贴</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310</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其他资本性支出</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31001</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房屋建筑物购建</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31002</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办公设备购置</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31003</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专用设备购置</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31005</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基础设施建设</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31006</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大型修缮</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31007</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信息网络及软件购置更新</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31008</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物资储备</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31009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土地补偿</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31010</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安置补助</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31011</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地上附着物和青苗补偿</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31012</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拆迁补偿</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31013</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公务用车购置</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31019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其他交通工具购置</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31099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其他资本性支出</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ascii="宋体" w:hAnsi="宋体" w:cs="Arial"/>
                <w:b/>
                <w:bCs/>
                <w:color w:val="000000"/>
                <w:kern w:val="0"/>
                <w:sz w:val="16"/>
                <w:szCs w:val="16"/>
              </w:rPr>
              <w:t>399</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其他支出</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1" w:hRule="atLeast"/>
        </w:trPr>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12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ascii="宋体" w:hAnsi="宋体" w:cs="Arial"/>
                <w:color w:val="000000"/>
                <w:kern w:val="0"/>
                <w:sz w:val="16"/>
                <w:szCs w:val="16"/>
              </w:rPr>
              <w:t>39906</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赠与</w:t>
            </w:r>
          </w:p>
        </w:tc>
        <w:tc>
          <w:tcPr>
            <w:tcW w:w="2237" w:type="dxa"/>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258" w:hRule="atLeast"/>
        </w:trPr>
        <w:tc>
          <w:tcPr>
            <w:tcW w:w="3396"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人员经费合计</w:t>
            </w:r>
          </w:p>
        </w:tc>
        <w:tc>
          <w:tcPr>
            <w:tcW w:w="1202"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Arial" w:hAnsi="Arial" w:cs="Arial"/>
                <w:b/>
                <w:color w:val="000000"/>
                <w:kern w:val="0"/>
                <w:sz w:val="16"/>
                <w:szCs w:val="16"/>
              </w:rPr>
            </w:pPr>
            <w:r>
              <w:rPr>
                <w:rFonts w:ascii="Arial" w:hAnsi="Arial" w:cs="Arial"/>
                <w:b/>
                <w:color w:val="000000"/>
                <w:kern w:val="0"/>
                <w:sz w:val="16"/>
                <w:szCs w:val="16"/>
              </w:rPr>
              <w:t>196.58</w:t>
            </w:r>
          </w:p>
        </w:tc>
        <w:tc>
          <w:tcPr>
            <w:tcW w:w="2681"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公用经费合计</w:t>
            </w:r>
          </w:p>
        </w:tc>
        <w:tc>
          <w:tcPr>
            <w:tcW w:w="2237"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Arial" w:hAnsi="Arial" w:cs="Arial"/>
                <w:b/>
                <w:color w:val="000000"/>
                <w:kern w:val="0"/>
                <w:sz w:val="16"/>
                <w:szCs w:val="16"/>
              </w:rPr>
            </w:pPr>
            <w:r>
              <w:rPr>
                <w:rFonts w:hint="eastAsia" w:ascii="Arial" w:hAnsi="Arial" w:cs="Arial"/>
                <w:color w:val="000000"/>
                <w:kern w:val="0"/>
                <w:sz w:val="16"/>
                <w:szCs w:val="16"/>
              </w:rPr>
              <w:t>　</w:t>
            </w:r>
            <w:r>
              <w:rPr>
                <w:rFonts w:ascii="Arial" w:hAnsi="Arial" w:cs="Arial"/>
                <w:b/>
                <w:color w:val="000000"/>
                <w:kern w:val="0"/>
                <w:sz w:val="16"/>
                <w:szCs w:val="16"/>
              </w:rPr>
              <w:t>27.52</w:t>
            </w:r>
          </w:p>
        </w:tc>
      </w:tr>
    </w:tbl>
    <w:p>
      <w:pPr>
        <w:autoSpaceDE w:val="0"/>
        <w:autoSpaceDN w:val="0"/>
        <w:adjustRightInd w:val="0"/>
        <w:spacing w:line="560" w:lineRule="exact"/>
        <w:jc w:val="center"/>
        <w:rPr>
          <w:rFonts w:ascii="仿宋" w:hAnsi="Times New Roman" w:eastAsia="仿宋" w:cs="仿宋"/>
          <w:b/>
          <w:sz w:val="32"/>
          <w:szCs w:val="32"/>
        </w:rPr>
      </w:pPr>
      <w:r>
        <w:rPr>
          <w:rFonts w:ascii="仿宋" w:hAnsi="Times New Roman" w:eastAsia="仿宋" w:cs="仿宋"/>
          <w:b/>
          <w:sz w:val="32"/>
          <w:szCs w:val="32"/>
        </w:rPr>
        <w:t>2017</w:t>
      </w:r>
      <w:r>
        <w:rPr>
          <w:rFonts w:hint="eastAsia" w:ascii="仿宋" w:hAnsi="Times New Roman" w:eastAsia="仿宋" w:cs="仿宋"/>
          <w:b/>
          <w:sz w:val="32"/>
          <w:szCs w:val="32"/>
        </w:rPr>
        <w:t>年度部门政府性基金收入支出决算表</w:t>
      </w:r>
    </w:p>
    <w:tbl>
      <w:tblPr>
        <w:tblStyle w:val="5"/>
        <w:tblW w:w="9609" w:type="dxa"/>
        <w:tblInd w:w="93" w:type="dxa"/>
        <w:tblLayout w:type="autofit"/>
        <w:tblCellMar>
          <w:top w:w="0" w:type="dxa"/>
          <w:left w:w="108" w:type="dxa"/>
          <w:bottom w:w="0" w:type="dxa"/>
          <w:right w:w="108" w:type="dxa"/>
        </w:tblCellMar>
      </w:tblPr>
      <w:tblGrid>
        <w:gridCol w:w="383"/>
        <w:gridCol w:w="383"/>
        <w:gridCol w:w="384"/>
        <w:gridCol w:w="2350"/>
        <w:gridCol w:w="551"/>
        <w:gridCol w:w="951"/>
        <w:gridCol w:w="1141"/>
        <w:gridCol w:w="1121"/>
        <w:gridCol w:w="1081"/>
        <w:gridCol w:w="1264"/>
      </w:tblGrid>
      <w:tr>
        <w:tblPrEx>
          <w:tblCellMar>
            <w:top w:w="0" w:type="dxa"/>
            <w:left w:w="108" w:type="dxa"/>
            <w:bottom w:w="0" w:type="dxa"/>
            <w:right w:w="108" w:type="dxa"/>
          </w:tblCellMar>
        </w:tblPrEx>
        <w:trPr>
          <w:trHeight w:val="264" w:hRule="atLeast"/>
        </w:trPr>
        <w:tc>
          <w:tcPr>
            <w:tcW w:w="383"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383"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384"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235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55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95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4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2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08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264" w:type="dxa"/>
            <w:tcBorders>
              <w:top w:val="nil"/>
              <w:left w:val="nil"/>
              <w:bottom w:val="nil"/>
              <w:right w:val="nil"/>
            </w:tcBorders>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公开</w:t>
            </w:r>
            <w:r>
              <w:rPr>
                <w:rFonts w:ascii="宋体" w:hAnsi="宋体" w:cs="Arial"/>
                <w:color w:val="000000"/>
                <w:kern w:val="0"/>
                <w:sz w:val="16"/>
                <w:szCs w:val="16"/>
              </w:rPr>
              <w:t>07</w:t>
            </w:r>
            <w:r>
              <w:rPr>
                <w:rFonts w:hint="eastAsia" w:ascii="宋体" w:hAnsi="宋体" w:cs="Arial"/>
                <w:color w:val="000000"/>
                <w:kern w:val="0"/>
                <w:sz w:val="16"/>
                <w:szCs w:val="16"/>
              </w:rPr>
              <w:t>表</w:t>
            </w:r>
          </w:p>
        </w:tc>
      </w:tr>
      <w:tr>
        <w:tblPrEx>
          <w:tblCellMar>
            <w:top w:w="0" w:type="dxa"/>
            <w:left w:w="108" w:type="dxa"/>
            <w:bottom w:w="0" w:type="dxa"/>
            <w:right w:w="108" w:type="dxa"/>
          </w:tblCellMar>
        </w:tblPrEx>
        <w:trPr>
          <w:trHeight w:val="264" w:hRule="atLeast"/>
        </w:trPr>
        <w:tc>
          <w:tcPr>
            <w:tcW w:w="3500" w:type="dxa"/>
            <w:gridSpan w:val="4"/>
            <w:tcBorders>
              <w:top w:val="nil"/>
              <w:left w:val="nil"/>
              <w:bottom w:val="nil"/>
              <w:right w:val="nil"/>
            </w:tcBorders>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部门：</w:t>
            </w:r>
            <w:r>
              <w:rPr>
                <w:rFonts w:hint="eastAsia" w:ascii="Arial" w:hAnsi="Arial" w:cs="Arial"/>
                <w:color w:val="000000"/>
                <w:kern w:val="0"/>
                <w:sz w:val="16"/>
                <w:szCs w:val="16"/>
              </w:rPr>
              <w:t>温州市红十字会</w:t>
            </w:r>
          </w:p>
        </w:tc>
        <w:tc>
          <w:tcPr>
            <w:tcW w:w="55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95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4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2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2344" w:type="dxa"/>
            <w:gridSpan w:val="2"/>
            <w:tcBorders>
              <w:top w:val="nil"/>
              <w:left w:val="nil"/>
              <w:bottom w:val="nil"/>
              <w:right w:val="nil"/>
            </w:tcBorders>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17" w:hRule="atLeast"/>
        </w:trPr>
        <w:tc>
          <w:tcPr>
            <w:tcW w:w="1149"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235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55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年初结余和结转</w:t>
            </w:r>
          </w:p>
        </w:tc>
        <w:tc>
          <w:tcPr>
            <w:tcW w:w="951"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本年收入</w:t>
            </w:r>
          </w:p>
        </w:tc>
        <w:tc>
          <w:tcPr>
            <w:tcW w:w="3343"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本年支出</w:t>
            </w:r>
          </w:p>
        </w:tc>
        <w:tc>
          <w:tcPr>
            <w:tcW w:w="1264"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年末结余结转</w:t>
            </w:r>
          </w:p>
        </w:tc>
      </w:tr>
      <w:tr>
        <w:tblPrEx>
          <w:tblCellMar>
            <w:top w:w="0" w:type="dxa"/>
            <w:left w:w="108" w:type="dxa"/>
            <w:bottom w:w="0" w:type="dxa"/>
            <w:right w:w="108" w:type="dxa"/>
          </w:tblCellMar>
        </w:tblPrEx>
        <w:trPr>
          <w:trHeight w:val="317" w:hRule="atLeast"/>
        </w:trPr>
        <w:tc>
          <w:tcPr>
            <w:tcW w:w="1149"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2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5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9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1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小</w:t>
            </w:r>
            <w:r>
              <w:rPr>
                <w:rFonts w:ascii="宋体" w:hAnsi="宋体" w:cs="Arial"/>
                <w:color w:val="000000"/>
                <w:kern w:val="0"/>
                <w:sz w:val="16"/>
                <w:szCs w:val="16"/>
              </w:rPr>
              <w:t xml:space="preserve"> </w:t>
            </w:r>
            <w:r>
              <w:rPr>
                <w:rFonts w:hint="eastAsia" w:ascii="宋体" w:hAnsi="宋体" w:cs="Arial"/>
                <w:color w:val="000000"/>
                <w:kern w:val="0"/>
                <w:sz w:val="16"/>
                <w:szCs w:val="16"/>
              </w:rPr>
              <w:t>计</w:t>
            </w:r>
          </w:p>
        </w:tc>
        <w:tc>
          <w:tcPr>
            <w:tcW w:w="112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基本支出</w:t>
            </w:r>
          </w:p>
        </w:tc>
        <w:tc>
          <w:tcPr>
            <w:tcW w:w="108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项目支出</w:t>
            </w:r>
          </w:p>
        </w:tc>
        <w:tc>
          <w:tcPr>
            <w:tcW w:w="126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r>
      <w:tr>
        <w:tblPrEx>
          <w:tblCellMar>
            <w:top w:w="0" w:type="dxa"/>
            <w:left w:w="108" w:type="dxa"/>
            <w:bottom w:w="0" w:type="dxa"/>
            <w:right w:w="108" w:type="dxa"/>
          </w:tblCellMar>
        </w:tblPrEx>
        <w:trPr>
          <w:trHeight w:val="317" w:hRule="atLeast"/>
        </w:trPr>
        <w:tc>
          <w:tcPr>
            <w:tcW w:w="383"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类</w:t>
            </w:r>
          </w:p>
        </w:tc>
        <w:tc>
          <w:tcPr>
            <w:tcW w:w="383"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款</w:t>
            </w:r>
          </w:p>
        </w:tc>
        <w:tc>
          <w:tcPr>
            <w:tcW w:w="38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w:t>
            </w:r>
          </w:p>
        </w:tc>
        <w:tc>
          <w:tcPr>
            <w:tcW w:w="235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合</w:t>
            </w:r>
            <w:r>
              <w:rPr>
                <w:rFonts w:ascii="宋体" w:hAnsi="宋体" w:cs="Arial"/>
                <w:color w:val="000000"/>
                <w:kern w:val="0"/>
                <w:sz w:val="16"/>
                <w:szCs w:val="16"/>
              </w:rPr>
              <w:t xml:space="preserve">  </w:t>
            </w:r>
            <w:r>
              <w:rPr>
                <w:rFonts w:hint="eastAsia" w:ascii="宋体" w:hAnsi="宋体" w:cs="Arial"/>
                <w:color w:val="000000"/>
                <w:kern w:val="0"/>
                <w:sz w:val="16"/>
                <w:szCs w:val="16"/>
              </w:rPr>
              <w:t>计</w:t>
            </w:r>
          </w:p>
        </w:tc>
        <w:tc>
          <w:tcPr>
            <w:tcW w:w="55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95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c>
          <w:tcPr>
            <w:tcW w:w="114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3</w:t>
            </w:r>
          </w:p>
        </w:tc>
        <w:tc>
          <w:tcPr>
            <w:tcW w:w="112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4</w:t>
            </w:r>
          </w:p>
        </w:tc>
        <w:tc>
          <w:tcPr>
            <w:tcW w:w="108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5</w:t>
            </w:r>
          </w:p>
        </w:tc>
        <w:tc>
          <w:tcPr>
            <w:tcW w:w="126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ascii="宋体" w:hAnsi="宋体" w:cs="Arial"/>
                <w:color w:val="000000"/>
                <w:kern w:val="0"/>
                <w:sz w:val="16"/>
                <w:szCs w:val="16"/>
              </w:rPr>
              <w:t>6</w:t>
            </w:r>
          </w:p>
        </w:tc>
      </w:tr>
      <w:tr>
        <w:tblPrEx>
          <w:tblCellMar>
            <w:top w:w="0" w:type="dxa"/>
            <w:left w:w="108" w:type="dxa"/>
            <w:bottom w:w="0" w:type="dxa"/>
            <w:right w:w="108" w:type="dxa"/>
          </w:tblCellMar>
        </w:tblPrEx>
        <w:trPr>
          <w:trHeight w:val="317" w:hRule="atLeast"/>
        </w:trPr>
        <w:tc>
          <w:tcPr>
            <w:tcW w:w="38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8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8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235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551" w:type="dxa"/>
            <w:tcBorders>
              <w:top w:val="nil"/>
              <w:left w:val="nil"/>
              <w:bottom w:val="single" w:color="000000" w:sz="4" w:space="0"/>
              <w:right w:val="single" w:color="000000" w:sz="4" w:space="0"/>
            </w:tcBorders>
            <w:shd w:val="clear" w:color="000000" w:fill="FFFFFF"/>
            <w:noWrap/>
            <w:vAlign w:val="center"/>
          </w:tcPr>
          <w:p>
            <w:pPr>
              <w:widowControl/>
              <w:jc w:val="right"/>
              <w:rPr>
                <w:rFonts w:ascii="Arial" w:hAnsi="Arial" w:cs="Arial"/>
                <w:color w:val="000000"/>
                <w:kern w:val="0"/>
                <w:sz w:val="16"/>
                <w:szCs w:val="16"/>
              </w:rPr>
            </w:pPr>
            <w:r>
              <w:rPr>
                <w:rFonts w:ascii="Arial" w:hAnsi="Arial" w:cs="Arial"/>
                <w:color w:val="000000"/>
                <w:kern w:val="0"/>
                <w:sz w:val="16"/>
                <w:szCs w:val="16"/>
              </w:rPr>
              <w:t>0</w:t>
            </w:r>
          </w:p>
        </w:tc>
        <w:tc>
          <w:tcPr>
            <w:tcW w:w="951" w:type="dxa"/>
            <w:tcBorders>
              <w:top w:val="nil"/>
              <w:left w:val="nil"/>
              <w:bottom w:val="single" w:color="000000" w:sz="4" w:space="0"/>
              <w:right w:val="single" w:color="000000" w:sz="4" w:space="0"/>
            </w:tcBorders>
            <w:shd w:val="clear" w:color="000000" w:fill="FFFFFF"/>
            <w:noWrap/>
            <w:vAlign w:val="center"/>
          </w:tcPr>
          <w:p>
            <w:pPr>
              <w:widowControl/>
              <w:jc w:val="right"/>
              <w:rPr>
                <w:rFonts w:ascii="Arial" w:hAnsi="Arial" w:cs="Arial"/>
                <w:color w:val="000000"/>
                <w:kern w:val="0"/>
                <w:sz w:val="16"/>
                <w:szCs w:val="16"/>
              </w:rPr>
            </w:pPr>
            <w:r>
              <w:rPr>
                <w:rFonts w:ascii="Arial" w:hAnsi="Arial" w:cs="Arial"/>
                <w:color w:val="000000"/>
                <w:kern w:val="0"/>
                <w:sz w:val="16"/>
                <w:szCs w:val="16"/>
              </w:rPr>
              <w:t>23.67</w:t>
            </w:r>
            <w:r>
              <w:rPr>
                <w:rFonts w:hint="eastAsia" w:ascii="Arial" w:hAnsi="Arial" w:cs="Arial"/>
                <w:color w:val="000000"/>
                <w:kern w:val="0"/>
                <w:sz w:val="16"/>
                <w:szCs w:val="16"/>
              </w:rPr>
              <w:t>　</w:t>
            </w:r>
          </w:p>
        </w:tc>
        <w:tc>
          <w:tcPr>
            <w:tcW w:w="1141" w:type="dxa"/>
            <w:tcBorders>
              <w:top w:val="nil"/>
              <w:left w:val="nil"/>
              <w:bottom w:val="single" w:color="000000" w:sz="4" w:space="0"/>
              <w:right w:val="single" w:color="000000" w:sz="4" w:space="0"/>
            </w:tcBorders>
            <w:shd w:val="clear" w:color="000000" w:fill="FFFFFF"/>
            <w:noWrap/>
            <w:vAlign w:val="center"/>
          </w:tcPr>
          <w:p>
            <w:pPr>
              <w:widowControl/>
              <w:jc w:val="right"/>
              <w:rPr>
                <w:rFonts w:ascii="Arial" w:hAnsi="Arial" w:cs="Arial"/>
                <w:color w:val="000000"/>
                <w:kern w:val="0"/>
                <w:sz w:val="16"/>
                <w:szCs w:val="16"/>
              </w:rPr>
            </w:pPr>
            <w:r>
              <w:rPr>
                <w:rFonts w:ascii="Arial" w:hAnsi="Arial" w:cs="Arial"/>
                <w:color w:val="000000"/>
                <w:kern w:val="0"/>
                <w:sz w:val="16"/>
                <w:szCs w:val="16"/>
              </w:rPr>
              <w:t>23.67</w:t>
            </w:r>
            <w:r>
              <w:rPr>
                <w:rFonts w:hint="eastAsia" w:ascii="Arial" w:hAnsi="Arial" w:cs="Arial"/>
                <w:color w:val="000000"/>
                <w:kern w:val="0"/>
                <w:sz w:val="16"/>
                <w:szCs w:val="16"/>
              </w:rPr>
              <w:t>　</w:t>
            </w:r>
          </w:p>
        </w:tc>
        <w:tc>
          <w:tcPr>
            <w:tcW w:w="1121" w:type="dxa"/>
            <w:tcBorders>
              <w:top w:val="nil"/>
              <w:left w:val="nil"/>
              <w:bottom w:val="single" w:color="000000" w:sz="4" w:space="0"/>
              <w:right w:val="single" w:color="000000" w:sz="4" w:space="0"/>
            </w:tcBorders>
            <w:shd w:val="clear" w:color="000000" w:fill="FFFFFF"/>
            <w:noWrap/>
            <w:vAlign w:val="center"/>
          </w:tcPr>
          <w:p>
            <w:pPr>
              <w:widowControl/>
              <w:jc w:val="right"/>
              <w:rPr>
                <w:rFonts w:ascii="Arial" w:hAnsi="Arial" w:cs="Arial"/>
                <w:color w:val="000000"/>
                <w:kern w:val="0"/>
                <w:sz w:val="16"/>
                <w:szCs w:val="16"/>
              </w:rPr>
            </w:pPr>
            <w:r>
              <w:rPr>
                <w:rFonts w:ascii="Arial" w:hAnsi="Arial" w:cs="Arial"/>
                <w:color w:val="000000"/>
                <w:kern w:val="0"/>
                <w:sz w:val="16"/>
                <w:szCs w:val="16"/>
              </w:rPr>
              <w:t>23.670</w:t>
            </w:r>
            <w:r>
              <w:rPr>
                <w:rFonts w:hint="eastAsia" w:ascii="Arial" w:hAnsi="Arial" w:cs="Arial"/>
                <w:color w:val="000000"/>
                <w:kern w:val="0"/>
                <w:sz w:val="16"/>
                <w:szCs w:val="16"/>
              </w:rPr>
              <w:t>　</w:t>
            </w:r>
          </w:p>
        </w:tc>
        <w:tc>
          <w:tcPr>
            <w:tcW w:w="108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26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7" w:hRule="atLeast"/>
        </w:trPr>
        <w:tc>
          <w:tcPr>
            <w:tcW w:w="1149"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Arial" w:hAnsi="Arial" w:cs="Arial"/>
                <w:b/>
                <w:color w:val="000000"/>
                <w:kern w:val="0"/>
                <w:sz w:val="16"/>
                <w:szCs w:val="16"/>
              </w:rPr>
            </w:pPr>
            <w:r>
              <w:rPr>
                <w:rFonts w:hint="eastAsia" w:ascii="Arial" w:hAnsi="Arial" w:cs="Arial"/>
                <w:b/>
                <w:color w:val="000000"/>
                <w:kern w:val="0"/>
                <w:sz w:val="16"/>
                <w:szCs w:val="16"/>
              </w:rPr>
              <w:t>　</w:t>
            </w:r>
            <w:r>
              <w:rPr>
                <w:rFonts w:ascii="Arial" w:hAnsi="Arial" w:cs="Arial"/>
                <w:b/>
                <w:color w:val="000000"/>
                <w:kern w:val="0"/>
                <w:sz w:val="16"/>
                <w:szCs w:val="16"/>
              </w:rPr>
              <w:t>229</w:t>
            </w:r>
          </w:p>
        </w:tc>
        <w:tc>
          <w:tcPr>
            <w:tcW w:w="2350" w:type="dxa"/>
            <w:tcBorders>
              <w:top w:val="nil"/>
              <w:left w:val="nil"/>
              <w:bottom w:val="single" w:color="000000" w:sz="4" w:space="0"/>
              <w:right w:val="single" w:color="000000" w:sz="4" w:space="0"/>
            </w:tcBorders>
            <w:noWrap/>
            <w:vAlign w:val="center"/>
          </w:tcPr>
          <w:p>
            <w:pPr>
              <w:widowControl/>
              <w:jc w:val="left"/>
              <w:rPr>
                <w:rFonts w:ascii="Arial" w:hAnsi="Arial" w:cs="Arial"/>
                <w:b/>
                <w:color w:val="000000"/>
                <w:kern w:val="0"/>
                <w:sz w:val="16"/>
                <w:szCs w:val="16"/>
              </w:rPr>
            </w:pPr>
            <w:r>
              <w:rPr>
                <w:rFonts w:hint="eastAsia" w:ascii="Arial" w:hAnsi="Arial" w:cs="Arial"/>
                <w:b/>
                <w:color w:val="000000"/>
                <w:kern w:val="0"/>
                <w:sz w:val="16"/>
                <w:szCs w:val="16"/>
              </w:rPr>
              <w:t>　其他支出</w:t>
            </w:r>
          </w:p>
        </w:tc>
        <w:tc>
          <w:tcPr>
            <w:tcW w:w="551" w:type="dxa"/>
            <w:tcBorders>
              <w:top w:val="nil"/>
              <w:left w:val="nil"/>
              <w:bottom w:val="single" w:color="000000" w:sz="4" w:space="0"/>
              <w:right w:val="single" w:color="000000" w:sz="4" w:space="0"/>
            </w:tcBorders>
            <w:noWrap/>
            <w:vAlign w:val="center"/>
          </w:tcPr>
          <w:p>
            <w:pPr>
              <w:widowControl/>
              <w:jc w:val="right"/>
              <w:rPr>
                <w:rFonts w:ascii="Arial" w:hAnsi="Arial" w:cs="Arial"/>
                <w:b/>
                <w:color w:val="000000"/>
                <w:kern w:val="0"/>
                <w:sz w:val="16"/>
                <w:szCs w:val="16"/>
              </w:rPr>
            </w:pPr>
            <w:r>
              <w:rPr>
                <w:rFonts w:ascii="Arial" w:hAnsi="Arial" w:cs="Arial"/>
                <w:b/>
                <w:color w:val="000000"/>
                <w:kern w:val="0"/>
                <w:sz w:val="16"/>
                <w:szCs w:val="16"/>
              </w:rPr>
              <w:t>0</w:t>
            </w:r>
          </w:p>
        </w:tc>
        <w:tc>
          <w:tcPr>
            <w:tcW w:w="951" w:type="dxa"/>
            <w:tcBorders>
              <w:top w:val="nil"/>
              <w:left w:val="nil"/>
              <w:bottom w:val="single" w:color="000000" w:sz="4" w:space="0"/>
              <w:right w:val="single" w:color="000000" w:sz="4" w:space="0"/>
            </w:tcBorders>
            <w:noWrap/>
            <w:vAlign w:val="center"/>
          </w:tcPr>
          <w:p>
            <w:pPr>
              <w:widowControl/>
              <w:jc w:val="right"/>
              <w:rPr>
                <w:rFonts w:ascii="Arial" w:hAnsi="Arial" w:cs="Arial"/>
                <w:b/>
                <w:color w:val="000000"/>
                <w:kern w:val="0"/>
                <w:sz w:val="16"/>
                <w:szCs w:val="16"/>
              </w:rPr>
            </w:pPr>
            <w:r>
              <w:rPr>
                <w:rFonts w:ascii="Arial" w:hAnsi="Arial" w:cs="Arial"/>
                <w:b/>
                <w:color w:val="000000"/>
                <w:kern w:val="0"/>
                <w:sz w:val="16"/>
                <w:szCs w:val="16"/>
              </w:rPr>
              <w:t>23.67</w:t>
            </w:r>
            <w:r>
              <w:rPr>
                <w:rFonts w:hint="eastAsia" w:ascii="Arial" w:hAnsi="Arial" w:cs="Arial"/>
                <w:b/>
                <w:color w:val="000000"/>
                <w:kern w:val="0"/>
                <w:sz w:val="16"/>
                <w:szCs w:val="16"/>
              </w:rPr>
              <w:t>　</w:t>
            </w:r>
          </w:p>
        </w:tc>
        <w:tc>
          <w:tcPr>
            <w:tcW w:w="1141" w:type="dxa"/>
            <w:tcBorders>
              <w:top w:val="nil"/>
              <w:left w:val="nil"/>
              <w:bottom w:val="single" w:color="000000" w:sz="4" w:space="0"/>
              <w:right w:val="single" w:color="000000" w:sz="4" w:space="0"/>
            </w:tcBorders>
            <w:noWrap/>
            <w:vAlign w:val="center"/>
          </w:tcPr>
          <w:p>
            <w:pPr>
              <w:widowControl/>
              <w:jc w:val="right"/>
              <w:rPr>
                <w:rFonts w:ascii="Arial" w:hAnsi="Arial" w:cs="Arial"/>
                <w:b/>
                <w:color w:val="000000"/>
                <w:kern w:val="0"/>
                <w:sz w:val="16"/>
                <w:szCs w:val="16"/>
              </w:rPr>
            </w:pPr>
            <w:r>
              <w:rPr>
                <w:rFonts w:ascii="Arial" w:hAnsi="Arial" w:cs="Arial"/>
                <w:b/>
                <w:color w:val="000000"/>
                <w:kern w:val="0"/>
                <w:sz w:val="16"/>
                <w:szCs w:val="16"/>
              </w:rPr>
              <w:t>23.67</w:t>
            </w:r>
            <w:r>
              <w:rPr>
                <w:rFonts w:hint="eastAsia" w:ascii="Arial" w:hAnsi="Arial" w:cs="Arial"/>
                <w:b/>
                <w:color w:val="000000"/>
                <w:kern w:val="0"/>
                <w:sz w:val="16"/>
                <w:szCs w:val="16"/>
              </w:rPr>
              <w:t>　</w:t>
            </w:r>
          </w:p>
        </w:tc>
        <w:tc>
          <w:tcPr>
            <w:tcW w:w="1121" w:type="dxa"/>
            <w:tcBorders>
              <w:top w:val="nil"/>
              <w:left w:val="nil"/>
              <w:bottom w:val="single" w:color="000000" w:sz="4" w:space="0"/>
              <w:right w:val="single" w:color="000000" w:sz="4" w:space="0"/>
            </w:tcBorders>
            <w:noWrap/>
            <w:vAlign w:val="center"/>
          </w:tcPr>
          <w:p>
            <w:pPr>
              <w:widowControl/>
              <w:jc w:val="right"/>
              <w:rPr>
                <w:rFonts w:ascii="Arial" w:hAnsi="Arial" w:cs="Arial"/>
                <w:b/>
                <w:color w:val="000000"/>
                <w:kern w:val="0"/>
                <w:sz w:val="16"/>
                <w:szCs w:val="16"/>
              </w:rPr>
            </w:pPr>
            <w:r>
              <w:rPr>
                <w:rFonts w:ascii="Arial" w:hAnsi="Arial" w:cs="Arial"/>
                <w:b/>
                <w:color w:val="000000"/>
                <w:kern w:val="0"/>
                <w:sz w:val="16"/>
                <w:szCs w:val="16"/>
              </w:rPr>
              <w:t>23.67</w:t>
            </w:r>
            <w:r>
              <w:rPr>
                <w:rFonts w:hint="eastAsia" w:ascii="Arial" w:hAnsi="Arial" w:cs="Arial"/>
                <w:b/>
                <w:color w:val="000000"/>
                <w:kern w:val="0"/>
                <w:sz w:val="16"/>
                <w:szCs w:val="16"/>
              </w:rPr>
              <w:t>　</w:t>
            </w:r>
          </w:p>
        </w:tc>
        <w:tc>
          <w:tcPr>
            <w:tcW w:w="108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7" w:hRule="atLeast"/>
        </w:trPr>
        <w:tc>
          <w:tcPr>
            <w:tcW w:w="1149"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Arial" w:hAnsi="Arial" w:cs="Arial"/>
                <w:b/>
                <w:color w:val="000000"/>
                <w:kern w:val="0"/>
                <w:sz w:val="16"/>
                <w:szCs w:val="16"/>
              </w:rPr>
            </w:pPr>
            <w:r>
              <w:rPr>
                <w:rFonts w:hint="eastAsia" w:ascii="Arial" w:hAnsi="Arial" w:cs="Arial"/>
                <w:b/>
                <w:color w:val="000000"/>
                <w:kern w:val="0"/>
                <w:sz w:val="16"/>
                <w:szCs w:val="16"/>
              </w:rPr>
              <w:t>　</w:t>
            </w:r>
            <w:r>
              <w:rPr>
                <w:rFonts w:ascii="Arial" w:hAnsi="Arial" w:cs="Arial"/>
                <w:b/>
                <w:color w:val="000000"/>
                <w:kern w:val="0"/>
                <w:sz w:val="16"/>
                <w:szCs w:val="16"/>
              </w:rPr>
              <w:t>22904</w:t>
            </w:r>
          </w:p>
        </w:tc>
        <w:tc>
          <w:tcPr>
            <w:tcW w:w="2350" w:type="dxa"/>
            <w:tcBorders>
              <w:top w:val="nil"/>
              <w:left w:val="nil"/>
              <w:bottom w:val="single" w:color="000000" w:sz="4" w:space="0"/>
              <w:right w:val="single" w:color="000000" w:sz="4" w:space="0"/>
            </w:tcBorders>
            <w:noWrap/>
            <w:vAlign w:val="center"/>
          </w:tcPr>
          <w:p>
            <w:pPr>
              <w:widowControl/>
              <w:jc w:val="left"/>
              <w:rPr>
                <w:rFonts w:ascii="Arial" w:hAnsi="Arial" w:cs="Arial"/>
                <w:b/>
                <w:color w:val="000000"/>
                <w:kern w:val="0"/>
                <w:sz w:val="16"/>
                <w:szCs w:val="16"/>
              </w:rPr>
            </w:pPr>
            <w:r>
              <w:rPr>
                <w:rFonts w:hint="eastAsia" w:ascii="Arial" w:hAnsi="Arial" w:cs="Arial"/>
                <w:b/>
                <w:color w:val="000000"/>
                <w:kern w:val="0"/>
                <w:sz w:val="16"/>
                <w:szCs w:val="16"/>
              </w:rPr>
              <w:t>　其他政府性基金及对应专项债务收入安排的支出</w:t>
            </w:r>
          </w:p>
        </w:tc>
        <w:tc>
          <w:tcPr>
            <w:tcW w:w="551" w:type="dxa"/>
            <w:tcBorders>
              <w:top w:val="nil"/>
              <w:left w:val="nil"/>
              <w:bottom w:val="single" w:color="000000" w:sz="4" w:space="0"/>
              <w:right w:val="single" w:color="000000" w:sz="4" w:space="0"/>
            </w:tcBorders>
            <w:noWrap/>
            <w:vAlign w:val="center"/>
          </w:tcPr>
          <w:p>
            <w:pPr>
              <w:widowControl/>
              <w:jc w:val="right"/>
              <w:rPr>
                <w:rFonts w:ascii="Arial" w:hAnsi="Arial" w:cs="Arial"/>
                <w:b/>
                <w:color w:val="000000"/>
                <w:kern w:val="0"/>
                <w:sz w:val="16"/>
                <w:szCs w:val="16"/>
              </w:rPr>
            </w:pPr>
            <w:r>
              <w:rPr>
                <w:rFonts w:ascii="Arial" w:hAnsi="Arial" w:cs="Arial"/>
                <w:b/>
                <w:color w:val="000000"/>
                <w:kern w:val="0"/>
                <w:sz w:val="16"/>
                <w:szCs w:val="16"/>
              </w:rPr>
              <w:t>0</w:t>
            </w:r>
          </w:p>
        </w:tc>
        <w:tc>
          <w:tcPr>
            <w:tcW w:w="951" w:type="dxa"/>
            <w:tcBorders>
              <w:top w:val="nil"/>
              <w:left w:val="nil"/>
              <w:bottom w:val="single" w:color="000000" w:sz="4" w:space="0"/>
              <w:right w:val="single" w:color="000000" w:sz="4" w:space="0"/>
            </w:tcBorders>
            <w:noWrap/>
            <w:vAlign w:val="center"/>
          </w:tcPr>
          <w:p>
            <w:pPr>
              <w:widowControl/>
              <w:jc w:val="right"/>
              <w:rPr>
                <w:rFonts w:ascii="Arial" w:hAnsi="Arial" w:cs="Arial"/>
                <w:b/>
                <w:color w:val="000000"/>
                <w:kern w:val="0"/>
                <w:sz w:val="16"/>
                <w:szCs w:val="16"/>
              </w:rPr>
            </w:pPr>
            <w:r>
              <w:rPr>
                <w:rFonts w:ascii="Arial" w:hAnsi="Arial" w:cs="Arial"/>
                <w:b/>
                <w:color w:val="000000"/>
                <w:kern w:val="0"/>
                <w:sz w:val="16"/>
                <w:szCs w:val="16"/>
              </w:rPr>
              <w:t>23.67</w:t>
            </w:r>
            <w:r>
              <w:rPr>
                <w:rFonts w:hint="eastAsia" w:ascii="Arial" w:hAnsi="Arial" w:cs="Arial"/>
                <w:b/>
                <w:color w:val="000000"/>
                <w:kern w:val="0"/>
                <w:sz w:val="16"/>
                <w:szCs w:val="16"/>
              </w:rPr>
              <w:t>　</w:t>
            </w:r>
          </w:p>
        </w:tc>
        <w:tc>
          <w:tcPr>
            <w:tcW w:w="1141" w:type="dxa"/>
            <w:tcBorders>
              <w:top w:val="nil"/>
              <w:left w:val="nil"/>
              <w:bottom w:val="single" w:color="000000" w:sz="4" w:space="0"/>
              <w:right w:val="single" w:color="000000" w:sz="4" w:space="0"/>
            </w:tcBorders>
            <w:noWrap/>
            <w:vAlign w:val="center"/>
          </w:tcPr>
          <w:p>
            <w:pPr>
              <w:widowControl/>
              <w:jc w:val="right"/>
              <w:rPr>
                <w:rFonts w:ascii="Arial" w:hAnsi="Arial" w:cs="Arial"/>
                <w:b/>
                <w:color w:val="000000"/>
                <w:kern w:val="0"/>
                <w:sz w:val="16"/>
                <w:szCs w:val="16"/>
              </w:rPr>
            </w:pPr>
            <w:r>
              <w:rPr>
                <w:rFonts w:ascii="Arial" w:hAnsi="Arial" w:cs="Arial"/>
                <w:b/>
                <w:color w:val="000000"/>
                <w:kern w:val="0"/>
                <w:sz w:val="16"/>
                <w:szCs w:val="16"/>
              </w:rPr>
              <w:t>23.67</w:t>
            </w:r>
            <w:r>
              <w:rPr>
                <w:rFonts w:hint="eastAsia" w:ascii="Arial" w:hAnsi="Arial" w:cs="Arial"/>
                <w:b/>
                <w:color w:val="000000"/>
                <w:kern w:val="0"/>
                <w:sz w:val="16"/>
                <w:szCs w:val="16"/>
              </w:rPr>
              <w:t>　</w:t>
            </w:r>
          </w:p>
        </w:tc>
        <w:tc>
          <w:tcPr>
            <w:tcW w:w="1121" w:type="dxa"/>
            <w:tcBorders>
              <w:top w:val="nil"/>
              <w:left w:val="nil"/>
              <w:bottom w:val="single" w:color="000000" w:sz="4" w:space="0"/>
              <w:right w:val="single" w:color="000000" w:sz="4" w:space="0"/>
            </w:tcBorders>
            <w:noWrap/>
            <w:vAlign w:val="center"/>
          </w:tcPr>
          <w:p>
            <w:pPr>
              <w:widowControl/>
              <w:jc w:val="right"/>
              <w:rPr>
                <w:rFonts w:ascii="Arial" w:hAnsi="Arial" w:cs="Arial"/>
                <w:b/>
                <w:color w:val="000000"/>
                <w:kern w:val="0"/>
                <w:sz w:val="16"/>
                <w:szCs w:val="16"/>
              </w:rPr>
            </w:pPr>
            <w:r>
              <w:rPr>
                <w:rFonts w:ascii="Arial" w:hAnsi="Arial" w:cs="Arial"/>
                <w:b/>
                <w:color w:val="000000"/>
                <w:kern w:val="0"/>
                <w:sz w:val="16"/>
                <w:szCs w:val="16"/>
              </w:rPr>
              <w:t>23.67</w:t>
            </w:r>
            <w:r>
              <w:rPr>
                <w:rFonts w:hint="eastAsia" w:ascii="Arial" w:hAnsi="Arial" w:cs="Arial"/>
                <w:b/>
                <w:color w:val="000000"/>
                <w:kern w:val="0"/>
                <w:sz w:val="16"/>
                <w:szCs w:val="16"/>
              </w:rPr>
              <w:t>　</w:t>
            </w:r>
          </w:p>
        </w:tc>
        <w:tc>
          <w:tcPr>
            <w:tcW w:w="108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17" w:hRule="atLeast"/>
        </w:trPr>
        <w:tc>
          <w:tcPr>
            <w:tcW w:w="1149"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Arial" w:hAnsi="Arial" w:cs="Arial"/>
                <w:color w:val="000000"/>
                <w:kern w:val="0"/>
                <w:sz w:val="16"/>
                <w:szCs w:val="16"/>
              </w:rPr>
            </w:pPr>
            <w:r>
              <w:rPr>
                <w:rFonts w:hint="eastAsia" w:ascii="Arial" w:hAnsi="Arial" w:cs="Arial"/>
                <w:color w:val="000000"/>
                <w:kern w:val="0"/>
                <w:sz w:val="16"/>
                <w:szCs w:val="16"/>
              </w:rPr>
              <w:t>　</w:t>
            </w:r>
            <w:r>
              <w:rPr>
                <w:rFonts w:ascii="Arial" w:hAnsi="Arial" w:cs="Arial"/>
                <w:color w:val="000000"/>
                <w:kern w:val="0"/>
                <w:sz w:val="16"/>
                <w:szCs w:val="16"/>
              </w:rPr>
              <w:t>2290400</w:t>
            </w:r>
          </w:p>
        </w:tc>
        <w:tc>
          <w:tcPr>
            <w:tcW w:w="2350" w:type="dxa"/>
            <w:tcBorders>
              <w:top w:val="nil"/>
              <w:left w:val="nil"/>
              <w:bottom w:val="single" w:color="000000" w:sz="4" w:space="0"/>
              <w:right w:val="single" w:color="000000" w:sz="4" w:space="0"/>
            </w:tcBorders>
            <w:noWrap/>
            <w:vAlign w:val="center"/>
          </w:tcPr>
          <w:p>
            <w:pPr>
              <w:widowControl/>
              <w:jc w:val="left"/>
              <w:rPr>
                <w:rFonts w:ascii="Arial" w:hAnsi="Arial" w:cs="Arial"/>
                <w:color w:val="000000"/>
                <w:kern w:val="0"/>
                <w:sz w:val="16"/>
                <w:szCs w:val="16"/>
              </w:rPr>
            </w:pPr>
            <w:r>
              <w:rPr>
                <w:rFonts w:hint="eastAsia" w:ascii="Arial" w:hAnsi="Arial" w:cs="Arial"/>
                <w:color w:val="000000"/>
                <w:kern w:val="0"/>
                <w:sz w:val="16"/>
                <w:szCs w:val="16"/>
              </w:rPr>
              <w:t>　其他政府性基金及对应专项债务收入安排的支出</w:t>
            </w:r>
          </w:p>
        </w:tc>
        <w:tc>
          <w:tcPr>
            <w:tcW w:w="551" w:type="dxa"/>
            <w:tcBorders>
              <w:top w:val="nil"/>
              <w:left w:val="nil"/>
              <w:bottom w:val="single" w:color="000000" w:sz="4" w:space="0"/>
              <w:right w:val="single" w:color="000000" w:sz="4" w:space="0"/>
            </w:tcBorders>
            <w:noWrap/>
            <w:vAlign w:val="center"/>
          </w:tcPr>
          <w:p>
            <w:pPr>
              <w:widowControl/>
              <w:jc w:val="right"/>
              <w:rPr>
                <w:rFonts w:ascii="Arial" w:hAnsi="Arial" w:cs="Arial"/>
                <w:color w:val="000000"/>
                <w:kern w:val="0"/>
                <w:sz w:val="16"/>
                <w:szCs w:val="16"/>
              </w:rPr>
            </w:pPr>
            <w:r>
              <w:rPr>
                <w:rFonts w:ascii="Arial" w:hAnsi="Arial" w:cs="Arial"/>
                <w:color w:val="000000"/>
                <w:kern w:val="0"/>
                <w:sz w:val="16"/>
                <w:szCs w:val="16"/>
              </w:rPr>
              <w:t>0</w:t>
            </w:r>
          </w:p>
        </w:tc>
        <w:tc>
          <w:tcPr>
            <w:tcW w:w="951" w:type="dxa"/>
            <w:tcBorders>
              <w:top w:val="nil"/>
              <w:left w:val="nil"/>
              <w:bottom w:val="single" w:color="000000" w:sz="4" w:space="0"/>
              <w:right w:val="single" w:color="000000" w:sz="4" w:space="0"/>
            </w:tcBorders>
            <w:noWrap/>
            <w:vAlign w:val="center"/>
          </w:tcPr>
          <w:p>
            <w:pPr>
              <w:widowControl/>
              <w:jc w:val="right"/>
              <w:rPr>
                <w:rFonts w:ascii="Arial" w:hAnsi="Arial" w:cs="Arial"/>
                <w:color w:val="000000"/>
                <w:kern w:val="0"/>
                <w:sz w:val="16"/>
                <w:szCs w:val="16"/>
              </w:rPr>
            </w:pPr>
            <w:r>
              <w:rPr>
                <w:rFonts w:ascii="Arial" w:hAnsi="Arial" w:cs="Arial"/>
                <w:color w:val="000000"/>
                <w:kern w:val="0"/>
                <w:sz w:val="16"/>
                <w:szCs w:val="16"/>
              </w:rPr>
              <w:t>23.67</w:t>
            </w:r>
            <w:r>
              <w:rPr>
                <w:rFonts w:hint="eastAsia" w:ascii="Arial" w:hAnsi="Arial" w:cs="Arial"/>
                <w:color w:val="000000"/>
                <w:kern w:val="0"/>
                <w:sz w:val="16"/>
                <w:szCs w:val="16"/>
              </w:rPr>
              <w:t>　</w:t>
            </w:r>
          </w:p>
        </w:tc>
        <w:tc>
          <w:tcPr>
            <w:tcW w:w="1141" w:type="dxa"/>
            <w:tcBorders>
              <w:top w:val="nil"/>
              <w:left w:val="nil"/>
              <w:bottom w:val="single" w:color="000000" w:sz="4" w:space="0"/>
              <w:right w:val="single" w:color="000000" w:sz="4" w:space="0"/>
            </w:tcBorders>
            <w:noWrap/>
            <w:vAlign w:val="center"/>
          </w:tcPr>
          <w:p>
            <w:pPr>
              <w:widowControl/>
              <w:jc w:val="right"/>
              <w:rPr>
                <w:rFonts w:ascii="Arial" w:hAnsi="Arial" w:cs="Arial"/>
                <w:color w:val="000000"/>
                <w:kern w:val="0"/>
                <w:sz w:val="16"/>
                <w:szCs w:val="16"/>
              </w:rPr>
            </w:pPr>
            <w:r>
              <w:rPr>
                <w:rFonts w:ascii="Arial" w:hAnsi="Arial" w:cs="Arial"/>
                <w:color w:val="000000"/>
                <w:kern w:val="0"/>
                <w:sz w:val="16"/>
                <w:szCs w:val="16"/>
              </w:rPr>
              <w:t>23.67</w:t>
            </w:r>
            <w:r>
              <w:rPr>
                <w:rFonts w:hint="eastAsia" w:ascii="Arial" w:hAnsi="Arial" w:cs="Arial"/>
                <w:color w:val="000000"/>
                <w:kern w:val="0"/>
                <w:sz w:val="16"/>
                <w:szCs w:val="16"/>
              </w:rPr>
              <w:t>　</w:t>
            </w:r>
          </w:p>
        </w:tc>
        <w:tc>
          <w:tcPr>
            <w:tcW w:w="1121" w:type="dxa"/>
            <w:tcBorders>
              <w:top w:val="nil"/>
              <w:left w:val="nil"/>
              <w:bottom w:val="single" w:color="000000" w:sz="4" w:space="0"/>
              <w:right w:val="single" w:color="000000" w:sz="4" w:space="0"/>
            </w:tcBorders>
            <w:noWrap/>
            <w:vAlign w:val="center"/>
          </w:tcPr>
          <w:p>
            <w:pPr>
              <w:widowControl/>
              <w:jc w:val="right"/>
              <w:rPr>
                <w:rFonts w:ascii="Arial" w:hAnsi="Arial" w:cs="Arial"/>
                <w:color w:val="000000"/>
                <w:kern w:val="0"/>
                <w:sz w:val="16"/>
                <w:szCs w:val="16"/>
              </w:rPr>
            </w:pPr>
            <w:r>
              <w:rPr>
                <w:rFonts w:ascii="Arial" w:hAnsi="Arial" w:cs="Arial"/>
                <w:color w:val="000000"/>
                <w:kern w:val="0"/>
                <w:sz w:val="16"/>
                <w:szCs w:val="16"/>
              </w:rPr>
              <w:t>23.67</w:t>
            </w:r>
            <w:r>
              <w:rPr>
                <w:rFonts w:hint="eastAsia" w:ascii="Arial" w:hAnsi="Arial" w:cs="Arial"/>
                <w:color w:val="000000"/>
                <w:kern w:val="0"/>
                <w:sz w:val="16"/>
                <w:szCs w:val="16"/>
              </w:rPr>
              <w:t>　</w:t>
            </w:r>
          </w:p>
        </w:tc>
        <w:tc>
          <w:tcPr>
            <w:tcW w:w="1081"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64"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bl>
    <w:p>
      <w:pPr>
        <w:autoSpaceDE w:val="0"/>
        <w:autoSpaceDN w:val="0"/>
        <w:adjustRightInd w:val="0"/>
        <w:spacing w:line="560" w:lineRule="exact"/>
        <w:ind w:firstLine="627"/>
        <w:jc w:val="center"/>
        <w:rPr>
          <w:rFonts w:ascii="仿宋" w:hAnsi="Times New Roman" w:eastAsia="仿宋" w:cs="仿宋"/>
          <w:b/>
          <w:sz w:val="32"/>
          <w:szCs w:val="32"/>
        </w:rPr>
      </w:pPr>
      <w:r>
        <w:rPr>
          <w:rFonts w:ascii="仿宋" w:hAnsi="Times New Roman" w:eastAsia="仿宋" w:cs="仿宋"/>
          <w:b/>
          <w:sz w:val="32"/>
          <w:szCs w:val="32"/>
        </w:rPr>
        <w:t>2017</w:t>
      </w:r>
      <w:r>
        <w:rPr>
          <w:rFonts w:hint="eastAsia" w:ascii="仿宋" w:hAnsi="Times New Roman" w:eastAsia="仿宋" w:cs="仿宋"/>
          <w:b/>
          <w:sz w:val="32"/>
          <w:szCs w:val="32"/>
        </w:rPr>
        <w:t>年度一般公共预算“三公”经费支出决算表</w:t>
      </w:r>
    </w:p>
    <w:p>
      <w:pPr>
        <w:ind w:right="600"/>
        <w:jc w:val="right"/>
        <w:rPr>
          <w:rFonts w:cs="Arial"/>
          <w:color w:val="000000"/>
          <w:sz w:val="15"/>
          <w:szCs w:val="15"/>
        </w:rPr>
      </w:pPr>
      <w:r>
        <w:rPr>
          <w:rFonts w:hint="eastAsia" w:cs="Arial"/>
          <w:color w:val="000000"/>
          <w:sz w:val="15"/>
          <w:szCs w:val="15"/>
        </w:rPr>
        <w:t>公开</w:t>
      </w:r>
      <w:r>
        <w:rPr>
          <w:rFonts w:cs="Arial"/>
          <w:color w:val="000000"/>
          <w:sz w:val="15"/>
          <w:szCs w:val="15"/>
        </w:rPr>
        <w:t>08</w:t>
      </w:r>
      <w:r>
        <w:rPr>
          <w:rFonts w:hint="eastAsia" w:cs="Arial"/>
          <w:color w:val="000000"/>
          <w:sz w:val="15"/>
          <w:szCs w:val="15"/>
        </w:rPr>
        <w:t>表</w:t>
      </w:r>
    </w:p>
    <w:p>
      <w:pPr>
        <w:wordWrap w:val="0"/>
        <w:ind w:right="400"/>
        <w:rPr>
          <w:rFonts w:ascii="宋体" w:cs="Arial"/>
          <w:color w:val="000000"/>
          <w:kern w:val="0"/>
          <w:sz w:val="16"/>
          <w:szCs w:val="16"/>
        </w:rPr>
      </w:pPr>
      <w:r>
        <w:rPr>
          <w:rFonts w:hint="eastAsia" w:ascii="宋体" w:hAnsi="宋体" w:cs="Arial"/>
          <w:color w:val="000000"/>
          <w:kern w:val="0"/>
          <w:sz w:val="16"/>
          <w:szCs w:val="16"/>
        </w:rPr>
        <w:t>部门：温州市红十字会</w:t>
      </w:r>
      <w:r>
        <w:rPr>
          <w:rFonts w:ascii="宋体" w:hAnsi="宋体" w:cs="Arial"/>
          <w:color w:val="000000"/>
          <w:kern w:val="0"/>
          <w:sz w:val="16"/>
          <w:szCs w:val="16"/>
        </w:rPr>
        <w:t xml:space="preserve">                                                                      </w:t>
      </w:r>
      <w:r>
        <w:rPr>
          <w:rFonts w:hint="eastAsia" w:ascii="宋体" w:hAnsi="宋体" w:cs="Arial"/>
          <w:color w:val="000000"/>
          <w:kern w:val="0"/>
          <w:sz w:val="16"/>
          <w:szCs w:val="16"/>
        </w:rPr>
        <w:t>金额单位：万元</w:t>
      </w:r>
    </w:p>
    <w:tbl>
      <w:tblPr>
        <w:tblStyle w:val="5"/>
        <w:tblW w:w="9724" w:type="dxa"/>
        <w:tblInd w:w="0" w:type="dxa"/>
        <w:tblLayout w:type="autofit"/>
        <w:tblCellMar>
          <w:top w:w="0" w:type="dxa"/>
          <w:left w:w="108" w:type="dxa"/>
          <w:bottom w:w="0" w:type="dxa"/>
          <w:right w:w="108" w:type="dxa"/>
        </w:tblCellMar>
      </w:tblPr>
      <w:tblGrid>
        <w:gridCol w:w="789"/>
        <w:gridCol w:w="962"/>
        <w:gridCol w:w="760"/>
        <w:gridCol w:w="834"/>
        <w:gridCol w:w="871"/>
        <w:gridCol w:w="704"/>
        <w:gridCol w:w="760"/>
        <w:gridCol w:w="742"/>
        <w:gridCol w:w="760"/>
        <w:gridCol w:w="890"/>
        <w:gridCol w:w="891"/>
        <w:gridCol w:w="761"/>
      </w:tblGrid>
      <w:tr>
        <w:tblPrEx>
          <w:tblCellMar>
            <w:top w:w="0" w:type="dxa"/>
            <w:left w:w="108" w:type="dxa"/>
            <w:bottom w:w="0" w:type="dxa"/>
            <w:right w:w="108" w:type="dxa"/>
          </w:tblCellMar>
        </w:tblPrEx>
        <w:trPr>
          <w:trHeight w:val="434" w:hRule="atLeast"/>
        </w:trPr>
        <w:tc>
          <w:tcPr>
            <w:tcW w:w="492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预算数</w:t>
            </w:r>
          </w:p>
        </w:tc>
        <w:tc>
          <w:tcPr>
            <w:tcW w:w="4804"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248" w:hRule="atLeast"/>
        </w:trPr>
        <w:tc>
          <w:tcPr>
            <w:tcW w:w="789"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合计</w:t>
            </w:r>
          </w:p>
        </w:tc>
        <w:tc>
          <w:tcPr>
            <w:tcW w:w="962"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因公出国（境）费</w:t>
            </w:r>
          </w:p>
        </w:tc>
        <w:tc>
          <w:tcPr>
            <w:tcW w:w="2465"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公务用车购置及运行费</w:t>
            </w:r>
          </w:p>
        </w:tc>
        <w:tc>
          <w:tcPr>
            <w:tcW w:w="704"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公务接待费</w:t>
            </w:r>
          </w:p>
        </w:tc>
        <w:tc>
          <w:tcPr>
            <w:tcW w:w="76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合计</w:t>
            </w:r>
          </w:p>
        </w:tc>
        <w:tc>
          <w:tcPr>
            <w:tcW w:w="742"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因公出国（境）费</w:t>
            </w:r>
          </w:p>
        </w:tc>
        <w:tc>
          <w:tcPr>
            <w:tcW w:w="2541"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公务用车购置及运行费</w:t>
            </w:r>
          </w:p>
        </w:tc>
        <w:tc>
          <w:tcPr>
            <w:tcW w:w="76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公务接待费</w:t>
            </w:r>
          </w:p>
        </w:tc>
      </w:tr>
      <w:tr>
        <w:tblPrEx>
          <w:tblCellMar>
            <w:top w:w="0" w:type="dxa"/>
            <w:left w:w="108" w:type="dxa"/>
            <w:bottom w:w="0" w:type="dxa"/>
            <w:right w:w="108" w:type="dxa"/>
          </w:tblCellMar>
        </w:tblPrEx>
        <w:trPr>
          <w:trHeight w:val="708" w:hRule="atLeast"/>
        </w:trPr>
        <w:tc>
          <w:tcPr>
            <w:tcW w:w="7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p>
        </w:tc>
        <w:tc>
          <w:tcPr>
            <w:tcW w:w="96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小计</w:t>
            </w:r>
          </w:p>
        </w:tc>
        <w:tc>
          <w:tcPr>
            <w:tcW w:w="834"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公务用车购置费</w:t>
            </w:r>
          </w:p>
        </w:tc>
        <w:tc>
          <w:tcPr>
            <w:tcW w:w="871"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公务用车运行费</w:t>
            </w: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p>
        </w:tc>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小计</w:t>
            </w:r>
          </w:p>
        </w:tc>
        <w:tc>
          <w:tcPr>
            <w:tcW w:w="890"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公务用车购置费</w:t>
            </w:r>
          </w:p>
        </w:tc>
        <w:tc>
          <w:tcPr>
            <w:tcW w:w="891"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公务用车运行费</w:t>
            </w:r>
          </w:p>
        </w:tc>
        <w:tc>
          <w:tcPr>
            <w:tcW w:w="7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p>
        </w:tc>
      </w:tr>
      <w:tr>
        <w:tblPrEx>
          <w:tblCellMar>
            <w:top w:w="0" w:type="dxa"/>
            <w:left w:w="108" w:type="dxa"/>
            <w:bottom w:w="0" w:type="dxa"/>
            <w:right w:w="108" w:type="dxa"/>
          </w:tblCellMar>
        </w:tblPrEx>
        <w:trPr>
          <w:trHeight w:val="248" w:hRule="atLeast"/>
        </w:trPr>
        <w:tc>
          <w:tcPr>
            <w:tcW w:w="789"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1</w:t>
            </w:r>
          </w:p>
        </w:tc>
        <w:tc>
          <w:tcPr>
            <w:tcW w:w="962"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2</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3</w:t>
            </w:r>
          </w:p>
        </w:tc>
        <w:tc>
          <w:tcPr>
            <w:tcW w:w="834"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4</w:t>
            </w:r>
          </w:p>
        </w:tc>
        <w:tc>
          <w:tcPr>
            <w:tcW w:w="871"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5</w:t>
            </w:r>
          </w:p>
        </w:tc>
        <w:tc>
          <w:tcPr>
            <w:tcW w:w="704"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6</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7</w:t>
            </w:r>
          </w:p>
        </w:tc>
        <w:tc>
          <w:tcPr>
            <w:tcW w:w="742"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8</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9</w:t>
            </w:r>
          </w:p>
        </w:tc>
        <w:tc>
          <w:tcPr>
            <w:tcW w:w="890"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10</w:t>
            </w:r>
          </w:p>
        </w:tc>
        <w:tc>
          <w:tcPr>
            <w:tcW w:w="891"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11</w:t>
            </w:r>
          </w:p>
        </w:tc>
        <w:tc>
          <w:tcPr>
            <w:tcW w:w="761" w:type="dxa"/>
            <w:tcBorders>
              <w:top w:val="nil"/>
              <w:left w:val="nil"/>
              <w:bottom w:val="single" w:color="auto" w:sz="4" w:space="0"/>
              <w:right w:val="single" w:color="auto" w:sz="4" w:space="0"/>
            </w:tcBorders>
            <w:shd w:val="clear" w:color="FFFFFF" w:fill="FFFFFF"/>
            <w:vAlign w:val="center"/>
          </w:tcPr>
          <w:p>
            <w:pPr>
              <w:widowControl/>
              <w:jc w:val="center"/>
              <w:rPr>
                <w:rFonts w:ascii="宋体" w:cs="Arial"/>
                <w:color w:val="000000"/>
                <w:kern w:val="0"/>
                <w:sz w:val="16"/>
                <w:szCs w:val="16"/>
              </w:rPr>
            </w:pPr>
            <w:r>
              <w:rPr>
                <w:rFonts w:ascii="宋体" w:hAnsi="宋体" w:cs="Arial"/>
                <w:color w:val="000000"/>
                <w:kern w:val="0"/>
                <w:sz w:val="16"/>
                <w:szCs w:val="16"/>
              </w:rPr>
              <w:t>12</w:t>
            </w:r>
          </w:p>
        </w:tc>
      </w:tr>
      <w:tr>
        <w:tblPrEx>
          <w:tblCellMar>
            <w:top w:w="0" w:type="dxa"/>
            <w:left w:w="108" w:type="dxa"/>
            <w:bottom w:w="0" w:type="dxa"/>
            <w:right w:w="108" w:type="dxa"/>
          </w:tblCellMar>
        </w:tblPrEx>
        <w:trPr>
          <w:trHeight w:val="248" w:hRule="atLeast"/>
        </w:trPr>
        <w:tc>
          <w:tcPr>
            <w:tcW w:w="789" w:type="dxa"/>
            <w:tcBorders>
              <w:top w:val="nil"/>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1.00</w:t>
            </w:r>
            <w:r>
              <w:rPr>
                <w:rFonts w:hint="eastAsia" w:ascii="宋体" w:hAnsi="宋体" w:cs="Arial"/>
                <w:color w:val="000000"/>
                <w:kern w:val="0"/>
                <w:sz w:val="16"/>
                <w:szCs w:val="16"/>
              </w:rPr>
              <w:t>　</w:t>
            </w:r>
          </w:p>
        </w:tc>
        <w:tc>
          <w:tcPr>
            <w:tcW w:w="962"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760"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834"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87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704"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1.00</w:t>
            </w:r>
            <w:r>
              <w:rPr>
                <w:rFonts w:hint="eastAsia" w:ascii="宋体" w:hAnsi="宋体" w:cs="Arial"/>
                <w:color w:val="000000"/>
                <w:kern w:val="0"/>
                <w:sz w:val="16"/>
                <w:szCs w:val="16"/>
              </w:rPr>
              <w:t>　</w:t>
            </w:r>
          </w:p>
        </w:tc>
        <w:tc>
          <w:tcPr>
            <w:tcW w:w="760"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0.56</w:t>
            </w:r>
            <w:r>
              <w:rPr>
                <w:rFonts w:hint="eastAsia" w:ascii="宋体" w:hAnsi="宋体" w:cs="Arial"/>
                <w:color w:val="000000"/>
                <w:kern w:val="0"/>
                <w:sz w:val="16"/>
                <w:szCs w:val="16"/>
              </w:rPr>
              <w:t>　</w:t>
            </w:r>
          </w:p>
        </w:tc>
        <w:tc>
          <w:tcPr>
            <w:tcW w:w="742"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760"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890"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89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761" w:type="dxa"/>
            <w:tcBorders>
              <w:top w:val="nil"/>
              <w:left w:val="nil"/>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0.56</w:t>
            </w:r>
            <w:r>
              <w:rPr>
                <w:rFonts w:hint="eastAsia" w:ascii="宋体" w:hAnsi="宋体" w:cs="Arial"/>
                <w:color w:val="000000"/>
                <w:kern w:val="0"/>
                <w:sz w:val="16"/>
                <w:szCs w:val="16"/>
              </w:rPr>
              <w:t>　</w:t>
            </w:r>
          </w:p>
        </w:tc>
      </w:tr>
    </w:tbl>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w:t>
      </w:r>
      <w:r>
        <w:rPr>
          <w:rFonts w:hint="eastAsia" w:ascii="黑体" w:hAnsi="Times New Roman" w:eastAsia="黑体" w:cs="黑体"/>
          <w:color w:val="000000"/>
          <w:sz w:val="32"/>
          <w:szCs w:val="32"/>
        </w:rPr>
        <w:t>年度部门决算情况说明</w:t>
      </w:r>
      <w:r>
        <w:rPr>
          <w:rFonts w:ascii="Times New Roman" w:hAnsi="Times New Roman" w:eastAsia="黑体"/>
          <w:color w:val="000000"/>
          <w:sz w:val="32"/>
          <w:szCs w:val="32"/>
        </w:rPr>
        <w:br w:type="textWrapping"/>
      </w:r>
      <w:r>
        <w:rPr>
          <w:rFonts w:hint="eastAsia" w:ascii="仿宋_GB2312" w:hAnsi="Times New Roman" w:eastAsia="仿宋_GB2312" w:cs="仿宋_GB2312"/>
          <w:color w:val="000000"/>
          <w:sz w:val="32"/>
          <w:szCs w:val="32"/>
        </w:rPr>
        <w:t>　　</w:t>
      </w:r>
      <w:r>
        <w:rPr>
          <w:rFonts w:hint="eastAsia" w:ascii="楷体_GB2312" w:hAnsi="Times New Roman" w:eastAsia="楷体_GB2312" w:cs="仿宋"/>
          <w:color w:val="000000"/>
          <w:sz w:val="32"/>
          <w:szCs w:val="32"/>
        </w:rPr>
        <w:t>（一）收入支出决算总体情况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1.2017</w:t>
      </w:r>
      <w:r>
        <w:rPr>
          <w:rFonts w:hint="eastAsia" w:ascii="仿宋_GB2312" w:hAnsi="Times New Roman" w:eastAsia="仿宋_GB2312" w:cs="仿宋"/>
          <w:color w:val="000000"/>
          <w:sz w:val="32"/>
          <w:szCs w:val="32"/>
        </w:rPr>
        <w:t>年度收入总计</w:t>
      </w:r>
      <w:r>
        <w:rPr>
          <w:rFonts w:ascii="仿宋_GB2312" w:hAnsi="Times New Roman" w:eastAsia="仿宋_GB2312" w:cs="仿宋"/>
          <w:color w:val="000000"/>
          <w:sz w:val="32"/>
          <w:szCs w:val="32"/>
        </w:rPr>
        <w:t>427.56</w:t>
      </w:r>
      <w:r>
        <w:rPr>
          <w:rFonts w:hint="eastAsia" w:ascii="仿宋_GB2312" w:hAnsi="Times New Roman" w:eastAsia="仿宋_GB2312" w:cs="仿宋"/>
          <w:color w:val="000000"/>
          <w:sz w:val="32"/>
          <w:szCs w:val="32"/>
        </w:rPr>
        <w:t>万元</w:t>
      </w:r>
      <w:r>
        <w:rPr>
          <w:rFonts w:ascii="仿宋_GB2312" w:hAnsi="Times New Roman" w:eastAsia="仿宋_GB2312" w:cs="仿宋"/>
          <w:color w:val="000000"/>
          <w:sz w:val="32"/>
          <w:szCs w:val="32"/>
        </w:rPr>
        <w:t>,</w:t>
      </w:r>
      <w:r>
        <w:rPr>
          <w:rFonts w:hint="eastAsia" w:ascii="仿宋_GB2312" w:hAnsi="Times New Roman" w:eastAsia="仿宋_GB2312" w:cs="仿宋"/>
          <w:color w:val="000000"/>
          <w:sz w:val="32"/>
          <w:szCs w:val="32"/>
        </w:rPr>
        <w:t>较上年减少</w:t>
      </w:r>
      <w:r>
        <w:rPr>
          <w:rFonts w:ascii="仿宋_GB2312" w:hAnsi="Times New Roman" w:eastAsia="仿宋_GB2312" w:cs="仿宋"/>
          <w:color w:val="000000"/>
          <w:sz w:val="32"/>
          <w:szCs w:val="32"/>
        </w:rPr>
        <w:t>16.26</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3.70%</w:t>
      </w:r>
      <w:r>
        <w:rPr>
          <w:rFonts w:hint="eastAsia" w:ascii="仿宋_GB2312" w:hAnsi="Times New Roman" w:eastAsia="仿宋_GB2312" w:cs="仿宋"/>
          <w:color w:val="000000"/>
          <w:sz w:val="32"/>
          <w:szCs w:val="32"/>
        </w:rPr>
        <w:t>，主要原因是人员调动变动。</w:t>
      </w:r>
    </w:p>
    <w:p>
      <w:pPr>
        <w:autoSpaceDE w:val="0"/>
        <w:autoSpaceDN w:val="0"/>
        <w:adjustRightInd w:val="0"/>
        <w:spacing w:line="560" w:lineRule="exact"/>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具体情况如下：</w:t>
      </w:r>
    </w:p>
    <w:p>
      <w:pPr>
        <w:autoSpaceDE w:val="0"/>
        <w:autoSpaceDN w:val="0"/>
        <w:adjustRightInd w:val="0"/>
        <w:spacing w:line="360" w:lineRule="auto"/>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）财政拨款收入</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万元，较上年减少</w:t>
      </w:r>
      <w:r>
        <w:rPr>
          <w:rFonts w:ascii="仿宋_GB2312" w:hAnsi="Times New Roman" w:eastAsia="仿宋_GB2312" w:cs="仿宋"/>
          <w:color w:val="000000"/>
          <w:sz w:val="32"/>
          <w:szCs w:val="32"/>
        </w:rPr>
        <w:t>16.26</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3.70%</w:t>
      </w:r>
      <w:r>
        <w:rPr>
          <w:rFonts w:hint="eastAsia" w:ascii="仿宋_GB2312" w:hAnsi="Times New Roman" w:eastAsia="仿宋_GB2312" w:cs="仿宋"/>
          <w:color w:val="000000"/>
          <w:sz w:val="32"/>
          <w:szCs w:val="32"/>
        </w:rPr>
        <w:t>，主要原因是人员调动变动。</w:t>
      </w:r>
    </w:p>
    <w:p>
      <w:pPr>
        <w:autoSpaceDE w:val="0"/>
        <w:autoSpaceDN w:val="0"/>
        <w:adjustRightInd w:val="0"/>
        <w:spacing w:line="360" w:lineRule="auto"/>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）年初结转和结余</w:t>
      </w:r>
      <w:r>
        <w:rPr>
          <w:rFonts w:ascii="仿宋_GB2312" w:hAnsi="Times New Roman" w:eastAsia="仿宋_GB2312" w:cs="仿宋"/>
          <w:color w:val="000000"/>
          <w:sz w:val="32"/>
          <w:szCs w:val="32"/>
        </w:rPr>
        <w:t>4.11</w:t>
      </w:r>
      <w:r>
        <w:rPr>
          <w:rFonts w:hint="eastAsia" w:ascii="仿宋_GB2312" w:hAnsi="Times New Roman" w:eastAsia="仿宋_GB2312" w:cs="仿宋"/>
          <w:color w:val="000000"/>
          <w:sz w:val="32"/>
          <w:szCs w:val="32"/>
        </w:rPr>
        <w:t>万元，与上年相同。</w:t>
      </w:r>
    </w:p>
    <w:p>
      <w:pPr>
        <w:autoSpaceDE w:val="0"/>
        <w:autoSpaceDN w:val="0"/>
        <w:adjustRightInd w:val="0"/>
        <w:spacing w:line="360" w:lineRule="auto"/>
        <w:ind w:firstLine="640" w:firstLineChars="200"/>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2.2017</w:t>
      </w:r>
      <w:r>
        <w:rPr>
          <w:rFonts w:hint="eastAsia" w:ascii="仿宋_GB2312" w:hAnsi="Times New Roman" w:eastAsia="仿宋_GB2312" w:cs="仿宋"/>
          <w:color w:val="000000"/>
          <w:sz w:val="32"/>
          <w:szCs w:val="32"/>
        </w:rPr>
        <w:t>年度支出总计</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万元，较上年减少</w:t>
      </w:r>
      <w:r>
        <w:rPr>
          <w:rFonts w:ascii="仿宋_GB2312" w:hAnsi="Times New Roman" w:eastAsia="仿宋_GB2312" w:cs="仿宋"/>
          <w:color w:val="000000"/>
          <w:sz w:val="32"/>
          <w:szCs w:val="32"/>
        </w:rPr>
        <w:t>16.26</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3.70%</w:t>
      </w:r>
      <w:r>
        <w:rPr>
          <w:rFonts w:hint="eastAsia" w:ascii="仿宋_GB2312" w:hAnsi="Times New Roman" w:eastAsia="仿宋_GB2312" w:cs="仿宋"/>
          <w:color w:val="000000"/>
          <w:sz w:val="32"/>
          <w:szCs w:val="32"/>
        </w:rPr>
        <w:t>，主要原因是人员调动变动。具体情况如下：</w:t>
      </w:r>
    </w:p>
    <w:p>
      <w:pPr>
        <w:autoSpaceDE w:val="0"/>
        <w:autoSpaceDN w:val="0"/>
        <w:adjustRightInd w:val="0"/>
        <w:spacing w:line="360" w:lineRule="auto"/>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）社会保障和就业支出（类）</w:t>
      </w:r>
      <w:r>
        <w:rPr>
          <w:rFonts w:ascii="仿宋_GB2312" w:hAnsi="Times New Roman" w:eastAsia="仿宋_GB2312" w:cs="仿宋"/>
          <w:color w:val="000000"/>
          <w:sz w:val="32"/>
          <w:szCs w:val="32"/>
        </w:rPr>
        <w:t>377.29</w:t>
      </w:r>
      <w:r>
        <w:rPr>
          <w:rFonts w:hint="eastAsia" w:ascii="仿宋_GB2312" w:hAnsi="Times New Roman" w:eastAsia="仿宋_GB2312" w:cs="仿宋"/>
          <w:color w:val="000000"/>
          <w:sz w:val="32"/>
          <w:szCs w:val="32"/>
        </w:rPr>
        <w:t>万元，主要用于本单位的基本支出和项目支出。较上年减少</w:t>
      </w:r>
      <w:r>
        <w:rPr>
          <w:rFonts w:ascii="仿宋_GB2312" w:hAnsi="Times New Roman" w:eastAsia="仿宋_GB2312" w:cs="仿宋"/>
          <w:color w:val="000000"/>
          <w:sz w:val="32"/>
          <w:szCs w:val="32"/>
        </w:rPr>
        <w:t>39.28</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9.43%</w:t>
      </w:r>
      <w:r>
        <w:rPr>
          <w:rFonts w:hint="eastAsia" w:ascii="仿宋_GB2312" w:hAnsi="Times New Roman" w:eastAsia="仿宋_GB2312" w:cs="仿宋"/>
          <w:color w:val="000000"/>
          <w:sz w:val="32"/>
          <w:szCs w:val="32"/>
        </w:rPr>
        <w:t>，主要原因是人员调动变动。</w:t>
      </w:r>
    </w:p>
    <w:p>
      <w:pPr>
        <w:autoSpaceDE w:val="0"/>
        <w:autoSpaceDN w:val="0"/>
        <w:adjustRightInd w:val="0"/>
        <w:spacing w:line="360" w:lineRule="auto"/>
        <w:ind w:firstLine="640" w:firstLineChars="200"/>
        <w:jc w:val="left"/>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）医疗卫生与计划生育（类）</w:t>
      </w:r>
      <w:r>
        <w:rPr>
          <w:rFonts w:ascii="仿宋_GB2312" w:hAnsi="Times New Roman" w:eastAsia="仿宋_GB2312" w:cs="仿宋"/>
          <w:color w:val="000000"/>
          <w:sz w:val="32"/>
          <w:szCs w:val="32"/>
        </w:rPr>
        <w:t>8.09</w:t>
      </w:r>
      <w:r>
        <w:rPr>
          <w:rFonts w:hint="eastAsia" w:ascii="仿宋_GB2312" w:hAnsi="Times New Roman" w:eastAsia="仿宋_GB2312" w:cs="仿宋"/>
          <w:color w:val="000000"/>
          <w:sz w:val="32"/>
          <w:szCs w:val="32"/>
        </w:rPr>
        <w:t>万元，主要用于本单位人员的基本医疗保险缴费经费。较上年减少</w:t>
      </w:r>
      <w:r>
        <w:rPr>
          <w:rFonts w:ascii="仿宋_GB2312" w:hAnsi="Times New Roman" w:eastAsia="仿宋_GB2312" w:cs="仿宋"/>
          <w:color w:val="000000"/>
          <w:sz w:val="32"/>
          <w:szCs w:val="32"/>
        </w:rPr>
        <w:t>0.55</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6.37%</w:t>
      </w:r>
      <w:r>
        <w:rPr>
          <w:rFonts w:hint="eastAsia" w:ascii="仿宋_GB2312" w:hAnsi="Times New Roman" w:eastAsia="仿宋_GB2312" w:cs="仿宋"/>
          <w:color w:val="000000"/>
          <w:sz w:val="32"/>
          <w:szCs w:val="32"/>
        </w:rPr>
        <w:t>，主要原因是人员调动变动。</w:t>
      </w:r>
    </w:p>
    <w:p>
      <w:pPr>
        <w:autoSpaceDE w:val="0"/>
        <w:autoSpaceDN w:val="0"/>
        <w:adjustRightInd w:val="0"/>
        <w:spacing w:line="360" w:lineRule="auto"/>
        <w:ind w:firstLine="640" w:firstLineChars="200"/>
        <w:jc w:val="left"/>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w:t>
      </w:r>
      <w:r>
        <w:rPr>
          <w:rFonts w:ascii="仿宋_GB2312" w:hAnsi="Times New Roman" w:eastAsia="仿宋_GB2312" w:cs="仿宋"/>
          <w:color w:val="000000"/>
          <w:sz w:val="32"/>
          <w:szCs w:val="32"/>
        </w:rPr>
        <w:t>3</w:t>
      </w:r>
      <w:r>
        <w:rPr>
          <w:rFonts w:hint="eastAsia" w:ascii="仿宋_GB2312" w:hAnsi="Times New Roman" w:eastAsia="仿宋_GB2312" w:cs="仿宋"/>
          <w:color w:val="000000"/>
          <w:sz w:val="32"/>
          <w:szCs w:val="32"/>
        </w:rPr>
        <w:t>）住房保障支出（类）</w:t>
      </w:r>
      <w:r>
        <w:rPr>
          <w:rFonts w:ascii="仿宋_GB2312" w:hAnsi="Times New Roman" w:eastAsia="仿宋_GB2312" w:cs="仿宋"/>
          <w:color w:val="000000"/>
          <w:sz w:val="32"/>
          <w:szCs w:val="32"/>
        </w:rPr>
        <w:t>14.40</w:t>
      </w:r>
      <w:r>
        <w:rPr>
          <w:rFonts w:hint="eastAsia" w:ascii="仿宋_GB2312" w:hAnsi="Times New Roman" w:eastAsia="仿宋_GB2312" w:cs="仿宋"/>
          <w:color w:val="000000"/>
          <w:sz w:val="32"/>
          <w:szCs w:val="32"/>
        </w:rPr>
        <w:t>元，主要用于本单位按人力资源和社会保障部、财政部规定的基本工资和津贴补贴以及规定比例为职工缴纳的住房公积金及用于购买住房的补贴。较上年减少</w:t>
      </w:r>
      <w:r>
        <w:rPr>
          <w:rFonts w:ascii="仿宋_GB2312" w:hAnsi="Times New Roman" w:eastAsia="仿宋_GB2312" w:cs="仿宋"/>
          <w:color w:val="000000"/>
          <w:sz w:val="32"/>
          <w:szCs w:val="32"/>
        </w:rPr>
        <w:t>0.10</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0.69%</w:t>
      </w:r>
      <w:r>
        <w:rPr>
          <w:rFonts w:hint="eastAsia" w:ascii="仿宋_GB2312" w:hAnsi="Times New Roman" w:eastAsia="仿宋_GB2312" w:cs="仿宋"/>
          <w:color w:val="000000"/>
          <w:sz w:val="32"/>
          <w:szCs w:val="32"/>
        </w:rPr>
        <w:t>，主要原因是人员调动变动。</w:t>
      </w:r>
    </w:p>
    <w:p>
      <w:pPr>
        <w:autoSpaceDE w:val="0"/>
        <w:autoSpaceDN w:val="0"/>
        <w:adjustRightInd w:val="0"/>
        <w:spacing w:line="360" w:lineRule="auto"/>
        <w:ind w:firstLine="640" w:firstLineChars="200"/>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w:t>
      </w:r>
      <w:r>
        <w:rPr>
          <w:rFonts w:ascii="仿宋_GB2312" w:hAnsi="Times New Roman" w:eastAsia="仿宋_GB2312" w:cs="仿宋"/>
          <w:color w:val="000000"/>
          <w:sz w:val="32"/>
          <w:szCs w:val="32"/>
        </w:rPr>
        <w:t>4</w:t>
      </w:r>
      <w:r>
        <w:rPr>
          <w:rFonts w:hint="eastAsia" w:ascii="仿宋_GB2312" w:hAnsi="Times New Roman" w:eastAsia="仿宋_GB2312" w:cs="仿宋"/>
          <w:color w:val="000000"/>
          <w:sz w:val="32"/>
          <w:szCs w:val="32"/>
        </w:rPr>
        <w:t>）其他支出（类）</w:t>
      </w:r>
      <w:r>
        <w:rPr>
          <w:rFonts w:ascii="仿宋_GB2312" w:hAnsi="Times New Roman" w:eastAsia="仿宋_GB2312" w:cs="仿宋"/>
          <w:color w:val="000000"/>
          <w:sz w:val="32"/>
          <w:szCs w:val="32"/>
        </w:rPr>
        <w:t>23.67</w:t>
      </w:r>
      <w:r>
        <w:rPr>
          <w:rFonts w:hint="eastAsia" w:ascii="仿宋_GB2312" w:hAnsi="Times New Roman" w:eastAsia="仿宋_GB2312" w:cs="仿宋"/>
          <w:color w:val="000000"/>
          <w:sz w:val="32"/>
          <w:szCs w:val="32"/>
        </w:rPr>
        <w:t>万元，主要用于本单位的基本支出。较上年增加</w:t>
      </w:r>
      <w:r>
        <w:rPr>
          <w:rFonts w:ascii="仿宋_GB2312" w:hAnsi="Times New Roman" w:eastAsia="仿宋_GB2312" w:cs="仿宋"/>
          <w:color w:val="000000"/>
          <w:sz w:val="32"/>
          <w:szCs w:val="32"/>
        </w:rPr>
        <w:t>23.67</w:t>
      </w:r>
      <w:r>
        <w:rPr>
          <w:rFonts w:hint="eastAsia" w:ascii="仿宋_GB2312" w:hAnsi="Times New Roman" w:eastAsia="仿宋_GB2312" w:cs="仿宋"/>
          <w:color w:val="000000"/>
          <w:sz w:val="32"/>
          <w:szCs w:val="32"/>
        </w:rPr>
        <w:t>万元，增长</w:t>
      </w:r>
      <w:r>
        <w:rPr>
          <w:rFonts w:ascii="仿宋_GB2312" w:hAnsi="Times New Roman" w:eastAsia="仿宋_GB2312" w:cs="仿宋"/>
          <w:color w:val="000000"/>
          <w:sz w:val="32"/>
          <w:szCs w:val="32"/>
        </w:rPr>
        <w:t>100%</w:t>
      </w:r>
      <w:r>
        <w:rPr>
          <w:rFonts w:hint="eastAsia" w:ascii="仿宋_GB2312" w:hAnsi="Times New Roman" w:eastAsia="仿宋_GB2312" w:cs="仿宋"/>
          <w:color w:val="000000"/>
          <w:sz w:val="32"/>
          <w:szCs w:val="32"/>
        </w:rPr>
        <w:t>，主要原因是财政下拨年终人员经费追加。</w:t>
      </w:r>
    </w:p>
    <w:p>
      <w:pPr>
        <w:autoSpaceDE w:val="0"/>
        <w:autoSpaceDN w:val="0"/>
        <w:adjustRightInd w:val="0"/>
        <w:spacing w:line="360" w:lineRule="auto"/>
        <w:ind w:firstLine="640" w:firstLineChars="200"/>
        <w:rPr>
          <w:rFonts w:ascii="仿宋" w:hAnsi="Times New Roman" w:eastAsia="仿宋" w:cs="仿宋"/>
          <w:color w:val="000000"/>
          <w:sz w:val="32"/>
          <w:szCs w:val="32"/>
        </w:rPr>
      </w:pPr>
      <w:r>
        <w:rPr>
          <w:rFonts w:hint="eastAsia" w:ascii="楷体_GB2312" w:hAnsi="Times New Roman" w:eastAsia="楷体_GB2312" w:cs="仿宋"/>
          <w:color w:val="000000"/>
          <w:sz w:val="32"/>
          <w:szCs w:val="32"/>
        </w:rPr>
        <w:t>（二）本年收入决算情况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hint="eastAsia" w:ascii="仿宋_GB2312" w:hAnsi="Times New Roman" w:eastAsia="仿宋_GB2312" w:cs="仿宋"/>
          <w:color w:val="000000"/>
          <w:sz w:val="32"/>
          <w:szCs w:val="32"/>
        </w:rPr>
        <w:t>　</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年度本年收入合计</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万元，其中：财政拨款</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万元，占</w:t>
      </w:r>
      <w:r>
        <w:rPr>
          <w:rFonts w:ascii="仿宋_GB2312" w:hAnsi="Times New Roman" w:eastAsia="仿宋_GB2312" w:cs="仿宋"/>
          <w:color w:val="000000"/>
          <w:sz w:val="32"/>
          <w:szCs w:val="32"/>
        </w:rPr>
        <w:t>100 %</w:t>
      </w:r>
      <w:r>
        <w:rPr>
          <w:rFonts w:hint="eastAsia" w:ascii="仿宋_GB2312" w:hAnsi="Times New Roman" w:eastAsia="仿宋_GB2312" w:cs="仿宋"/>
          <w:color w:val="000000"/>
          <w:sz w:val="32"/>
          <w:szCs w:val="32"/>
        </w:rPr>
        <w:t>。</w:t>
      </w:r>
    </w:p>
    <w:p>
      <w:pPr>
        <w:autoSpaceDE w:val="0"/>
        <w:autoSpaceDN w:val="0"/>
        <w:adjustRightInd w:val="0"/>
        <w:spacing w:line="360" w:lineRule="auto"/>
        <w:ind w:firstLine="627"/>
        <w:rPr>
          <w:rFonts w:ascii="仿宋" w:hAnsi="Times New Roman" w:eastAsia="仿宋" w:cs="仿宋"/>
          <w:color w:val="000000"/>
          <w:sz w:val="32"/>
          <w:szCs w:val="32"/>
        </w:rPr>
      </w:pPr>
      <w:r>
        <w:rPr>
          <w:rFonts w:hint="eastAsia" w:ascii="楷体_GB2312" w:hAnsi="Times New Roman" w:eastAsia="楷体_GB2312" w:cs="仿宋"/>
          <w:color w:val="000000"/>
          <w:sz w:val="32"/>
          <w:szCs w:val="32"/>
        </w:rPr>
        <w:t>（三）本年支出决算情况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年度本年支出合计</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万元，其中：基本支出</w:t>
      </w:r>
      <w:r>
        <w:rPr>
          <w:rFonts w:ascii="仿宋_GB2312" w:hAnsi="Times New Roman" w:eastAsia="仿宋_GB2312" w:cs="仿宋"/>
          <w:color w:val="000000"/>
          <w:sz w:val="32"/>
          <w:szCs w:val="32"/>
        </w:rPr>
        <w:t>247.77</w:t>
      </w:r>
      <w:r>
        <w:rPr>
          <w:rFonts w:hint="eastAsia" w:ascii="仿宋_GB2312" w:hAnsi="Times New Roman" w:eastAsia="仿宋_GB2312" w:cs="仿宋"/>
          <w:color w:val="000000"/>
          <w:sz w:val="32"/>
          <w:szCs w:val="32"/>
        </w:rPr>
        <w:t>万元，占</w:t>
      </w:r>
      <w:r>
        <w:rPr>
          <w:rFonts w:ascii="仿宋_GB2312" w:hAnsi="Times New Roman" w:eastAsia="仿宋_GB2312" w:cs="仿宋"/>
          <w:color w:val="000000"/>
          <w:sz w:val="32"/>
          <w:szCs w:val="32"/>
        </w:rPr>
        <w:t>58.51 %</w:t>
      </w:r>
      <w:r>
        <w:rPr>
          <w:rFonts w:hint="eastAsia" w:ascii="仿宋_GB2312" w:hAnsi="Times New Roman" w:eastAsia="仿宋_GB2312" w:cs="仿宋"/>
          <w:color w:val="000000"/>
          <w:sz w:val="32"/>
          <w:szCs w:val="32"/>
        </w:rPr>
        <w:t>；项目支出</w:t>
      </w:r>
      <w:r>
        <w:rPr>
          <w:rFonts w:ascii="仿宋_GB2312" w:hAnsi="Times New Roman" w:eastAsia="仿宋_GB2312" w:cs="仿宋"/>
          <w:color w:val="000000"/>
          <w:sz w:val="32"/>
          <w:szCs w:val="32"/>
        </w:rPr>
        <w:t>175.68</w:t>
      </w:r>
      <w:r>
        <w:rPr>
          <w:rFonts w:hint="eastAsia" w:ascii="仿宋_GB2312" w:hAnsi="Times New Roman" w:eastAsia="仿宋_GB2312" w:cs="仿宋"/>
          <w:color w:val="000000"/>
          <w:sz w:val="32"/>
          <w:szCs w:val="32"/>
        </w:rPr>
        <w:t>万元，占</w:t>
      </w:r>
      <w:r>
        <w:rPr>
          <w:rFonts w:ascii="仿宋_GB2312" w:hAnsi="Times New Roman" w:eastAsia="仿宋_GB2312" w:cs="仿宋"/>
          <w:color w:val="000000"/>
          <w:sz w:val="32"/>
          <w:szCs w:val="32"/>
        </w:rPr>
        <w:t>41.49%</w:t>
      </w:r>
      <w:r>
        <w:rPr>
          <w:rFonts w:hint="eastAsia" w:ascii="仿宋_GB2312" w:hAnsi="Times New Roman" w:eastAsia="仿宋_GB2312" w:cs="仿宋"/>
          <w:color w:val="000000"/>
          <w:sz w:val="32"/>
          <w:szCs w:val="32"/>
        </w:rPr>
        <w:t>。</w:t>
      </w:r>
    </w:p>
    <w:p>
      <w:pPr>
        <w:autoSpaceDE w:val="0"/>
        <w:autoSpaceDN w:val="0"/>
        <w:adjustRightInd w:val="0"/>
        <w:spacing w:line="360" w:lineRule="auto"/>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（四）财政拨款收入支出决算情况</w:t>
      </w:r>
    </w:p>
    <w:p>
      <w:pPr>
        <w:autoSpaceDE w:val="0"/>
        <w:autoSpaceDN w:val="0"/>
        <w:adjustRightInd w:val="0"/>
        <w:spacing w:line="360" w:lineRule="auto"/>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年度财政拨款收入总计</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万元，支出总计</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万元，与上年相比，财政拨款收、支总计各减</w:t>
      </w:r>
      <w:r>
        <w:rPr>
          <w:rFonts w:ascii="仿宋_GB2312" w:hAnsi="Times New Roman" w:eastAsia="仿宋_GB2312" w:cs="仿宋"/>
          <w:color w:val="000000"/>
          <w:sz w:val="32"/>
          <w:szCs w:val="32"/>
        </w:rPr>
        <w:t>16.26</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3.70%</w:t>
      </w:r>
      <w:r>
        <w:rPr>
          <w:rFonts w:hint="eastAsia" w:ascii="仿宋_GB2312" w:hAnsi="Times New Roman" w:eastAsia="仿宋_GB2312" w:cs="仿宋"/>
          <w:color w:val="000000"/>
          <w:sz w:val="32"/>
          <w:szCs w:val="32"/>
        </w:rPr>
        <w:t>，主要原因是人员调动变动。</w:t>
      </w:r>
    </w:p>
    <w:p>
      <w:pPr>
        <w:autoSpaceDE w:val="0"/>
        <w:autoSpaceDN w:val="0"/>
        <w:adjustRightInd w:val="0"/>
        <w:spacing w:line="360" w:lineRule="auto"/>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（五）一般公共预算财政拨款支出情况</w:t>
      </w:r>
    </w:p>
    <w:p>
      <w:pPr>
        <w:autoSpaceDE w:val="0"/>
        <w:autoSpaceDN w:val="0"/>
        <w:adjustRightInd w:val="0"/>
        <w:spacing w:line="360" w:lineRule="auto"/>
        <w:ind w:firstLine="627"/>
        <w:rPr>
          <w:rFonts w:ascii="仿宋_GB2312" w:hAnsi="Times New Roman" w:eastAsia="仿宋_GB2312" w:cs="仿宋"/>
          <w:color w:val="000000"/>
          <w:sz w:val="32"/>
          <w:szCs w:val="32"/>
        </w:rPr>
      </w:pPr>
      <w:r>
        <w:rPr>
          <w:rFonts w:hint="eastAsia" w:ascii="仿宋" w:hAnsi="Times New Roman" w:eastAsia="仿宋" w:cs="仿宋"/>
          <w:color w:val="000000"/>
          <w:sz w:val="32"/>
          <w:szCs w:val="32"/>
        </w:rPr>
        <w:t>　</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年度部门决算一般公共预算财政拨款支出决算</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万元，比年初预算增加</w:t>
      </w:r>
      <w:r>
        <w:rPr>
          <w:rFonts w:ascii="仿宋_GB2312" w:hAnsi="Times New Roman" w:eastAsia="仿宋_GB2312" w:cs="仿宋"/>
          <w:color w:val="000000"/>
          <w:sz w:val="32"/>
          <w:szCs w:val="32"/>
        </w:rPr>
        <w:t>21.86</w:t>
      </w:r>
      <w:r>
        <w:rPr>
          <w:rFonts w:hint="eastAsia" w:ascii="仿宋_GB2312" w:hAnsi="Times New Roman" w:eastAsia="仿宋_GB2312" w:cs="仿宋"/>
          <w:color w:val="000000"/>
          <w:sz w:val="32"/>
          <w:szCs w:val="32"/>
        </w:rPr>
        <w:t>万元，增加</w:t>
      </w:r>
      <w:r>
        <w:rPr>
          <w:rFonts w:ascii="仿宋_GB2312" w:hAnsi="Times New Roman" w:eastAsia="仿宋_GB2312" w:cs="仿宋"/>
          <w:color w:val="000000"/>
          <w:sz w:val="32"/>
          <w:szCs w:val="32"/>
        </w:rPr>
        <w:t>5.44%</w:t>
      </w:r>
      <w:r>
        <w:rPr>
          <w:rFonts w:hint="eastAsia" w:ascii="仿宋_GB2312" w:hAnsi="Times New Roman" w:eastAsia="仿宋_GB2312" w:cs="仿宋"/>
          <w:color w:val="000000"/>
          <w:sz w:val="32"/>
          <w:szCs w:val="32"/>
        </w:rPr>
        <w:t>。具体情况如下：</w:t>
      </w:r>
    </w:p>
    <w:p>
      <w:pPr>
        <w:autoSpaceDE w:val="0"/>
        <w:autoSpaceDN w:val="0"/>
        <w:adjustRightInd w:val="0"/>
        <w:spacing w:line="360" w:lineRule="auto"/>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社会保障和就业支出（类）行政事业单位离退休（款）机关事业单位基本养老保险缴费支出（项）事务支出</w:t>
      </w:r>
      <w:r>
        <w:rPr>
          <w:rFonts w:ascii="仿宋_GB2312" w:hAnsi="Times New Roman" w:eastAsia="仿宋_GB2312" w:cs="仿宋"/>
          <w:color w:val="000000"/>
          <w:sz w:val="32"/>
          <w:szCs w:val="32"/>
        </w:rPr>
        <w:t>0.38</w:t>
      </w:r>
      <w:r>
        <w:rPr>
          <w:rFonts w:hint="eastAsia" w:ascii="仿宋_GB2312" w:hAnsi="Times New Roman" w:eastAsia="仿宋_GB2312" w:cs="仿宋"/>
          <w:color w:val="000000"/>
          <w:sz w:val="32"/>
          <w:szCs w:val="32"/>
        </w:rPr>
        <w:t>万元，比年初预算增加</w:t>
      </w:r>
      <w:r>
        <w:rPr>
          <w:rFonts w:ascii="仿宋_GB2312" w:hAnsi="Times New Roman" w:eastAsia="仿宋_GB2312" w:cs="仿宋"/>
          <w:color w:val="000000"/>
          <w:sz w:val="32"/>
          <w:szCs w:val="32"/>
        </w:rPr>
        <w:t>0.38</w:t>
      </w:r>
      <w:r>
        <w:rPr>
          <w:rFonts w:hint="eastAsia" w:ascii="仿宋_GB2312" w:hAnsi="Times New Roman" w:eastAsia="仿宋_GB2312" w:cs="仿宋"/>
          <w:color w:val="000000"/>
          <w:sz w:val="32"/>
          <w:szCs w:val="32"/>
        </w:rPr>
        <w:t>万元，增长</w:t>
      </w:r>
      <w:r>
        <w:rPr>
          <w:rFonts w:ascii="仿宋_GB2312" w:hAnsi="Times New Roman" w:eastAsia="仿宋_GB2312" w:cs="仿宋"/>
          <w:color w:val="000000"/>
          <w:sz w:val="32"/>
          <w:szCs w:val="32"/>
        </w:rPr>
        <w:t>100%</w:t>
      </w:r>
      <w:r>
        <w:rPr>
          <w:rFonts w:hint="eastAsia" w:ascii="仿宋_GB2312" w:hAnsi="Times New Roman" w:eastAsia="仿宋_GB2312" w:cs="仿宋"/>
          <w:color w:val="000000"/>
          <w:sz w:val="32"/>
          <w:szCs w:val="32"/>
        </w:rPr>
        <w:t>。主要是预算科目不同，年初预算科目是红十字事业（款）行政运行（项），追加预算科目是行政事业单位离退休（款）机关事业单位基本养老保险缴费支出（项）。</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社会保障和就业支出（类）行政事业单位离退休（款）机关事业单位职业年金缴费支出（项）事务支出</w:t>
      </w:r>
      <w:r>
        <w:rPr>
          <w:rFonts w:ascii="仿宋_GB2312" w:hAnsi="Times New Roman" w:eastAsia="仿宋_GB2312" w:cs="仿宋"/>
          <w:color w:val="000000"/>
          <w:sz w:val="32"/>
          <w:szCs w:val="32"/>
        </w:rPr>
        <w:t>0.16</w:t>
      </w:r>
      <w:r>
        <w:rPr>
          <w:rFonts w:hint="eastAsia" w:ascii="仿宋_GB2312" w:hAnsi="Times New Roman" w:eastAsia="仿宋_GB2312" w:cs="仿宋"/>
          <w:color w:val="000000"/>
          <w:sz w:val="32"/>
          <w:szCs w:val="32"/>
        </w:rPr>
        <w:t>万元，比年初预算增加</w:t>
      </w:r>
      <w:r>
        <w:rPr>
          <w:rFonts w:ascii="仿宋_GB2312" w:hAnsi="Times New Roman" w:eastAsia="仿宋_GB2312" w:cs="仿宋"/>
          <w:color w:val="000000"/>
          <w:sz w:val="32"/>
          <w:szCs w:val="32"/>
        </w:rPr>
        <w:t>0.16</w:t>
      </w:r>
      <w:r>
        <w:rPr>
          <w:rFonts w:hint="eastAsia" w:ascii="仿宋_GB2312" w:hAnsi="Times New Roman" w:eastAsia="仿宋_GB2312" w:cs="仿宋"/>
          <w:color w:val="000000"/>
          <w:sz w:val="32"/>
          <w:szCs w:val="32"/>
        </w:rPr>
        <w:t>万元，增长</w:t>
      </w:r>
      <w:r>
        <w:rPr>
          <w:rFonts w:ascii="仿宋_GB2312" w:hAnsi="Times New Roman" w:eastAsia="仿宋_GB2312" w:cs="仿宋"/>
          <w:color w:val="000000"/>
          <w:sz w:val="32"/>
          <w:szCs w:val="32"/>
        </w:rPr>
        <w:t>100%</w:t>
      </w:r>
      <w:r>
        <w:rPr>
          <w:rFonts w:hint="eastAsia" w:ascii="仿宋_GB2312" w:hAnsi="Times New Roman" w:eastAsia="仿宋_GB2312" w:cs="仿宋"/>
          <w:color w:val="000000"/>
          <w:sz w:val="32"/>
          <w:szCs w:val="32"/>
        </w:rPr>
        <w:t>。主要是预算科目不同，年初预算科目是红十字事业（款）行政运行（项），追加预算科目是行政事业单位离退休（款）机关事业单位职业年金缴费支出（项）。</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3.</w:t>
      </w:r>
      <w:r>
        <w:rPr>
          <w:rFonts w:hint="eastAsia" w:ascii="仿宋_GB2312" w:hAnsi="Times New Roman" w:eastAsia="仿宋_GB2312" w:cs="仿宋"/>
          <w:color w:val="000000"/>
          <w:sz w:val="32"/>
          <w:szCs w:val="32"/>
        </w:rPr>
        <w:t>社会保障和就业支出（类）红十字事业（款）行政运行（项）事务支出</w:t>
      </w:r>
      <w:r>
        <w:rPr>
          <w:rFonts w:ascii="仿宋_GB2312" w:hAnsi="Times New Roman" w:eastAsia="仿宋_GB2312" w:cs="仿宋"/>
          <w:color w:val="000000"/>
          <w:sz w:val="32"/>
          <w:szCs w:val="32"/>
        </w:rPr>
        <w:t>201.07</w:t>
      </w:r>
      <w:r>
        <w:rPr>
          <w:rFonts w:hint="eastAsia" w:ascii="仿宋_GB2312" w:hAnsi="Times New Roman" w:eastAsia="仿宋_GB2312" w:cs="仿宋"/>
          <w:color w:val="000000"/>
          <w:sz w:val="32"/>
          <w:szCs w:val="32"/>
        </w:rPr>
        <w:t>万元，比年初预算增加</w:t>
      </w:r>
      <w:r>
        <w:rPr>
          <w:rFonts w:ascii="仿宋_GB2312" w:hAnsi="Times New Roman" w:eastAsia="仿宋_GB2312" w:cs="仿宋"/>
          <w:color w:val="000000"/>
          <w:sz w:val="32"/>
          <w:szCs w:val="32"/>
        </w:rPr>
        <w:t>0.89</w:t>
      </w:r>
      <w:r>
        <w:rPr>
          <w:rFonts w:hint="eastAsia" w:ascii="仿宋_GB2312" w:hAnsi="Times New Roman" w:eastAsia="仿宋_GB2312" w:cs="仿宋"/>
          <w:color w:val="000000"/>
          <w:sz w:val="32"/>
          <w:szCs w:val="32"/>
        </w:rPr>
        <w:t>万元，增长</w:t>
      </w:r>
      <w:r>
        <w:rPr>
          <w:rFonts w:ascii="仿宋_GB2312" w:hAnsi="Times New Roman" w:eastAsia="仿宋_GB2312" w:cs="仿宋"/>
          <w:color w:val="000000"/>
          <w:sz w:val="32"/>
          <w:szCs w:val="32"/>
        </w:rPr>
        <w:t>0.44%</w:t>
      </w:r>
      <w:r>
        <w:rPr>
          <w:rFonts w:hint="eastAsia" w:ascii="仿宋_GB2312" w:hAnsi="Times New Roman" w:eastAsia="仿宋_GB2312" w:cs="仿宋"/>
          <w:color w:val="000000"/>
          <w:sz w:val="32"/>
          <w:szCs w:val="32"/>
        </w:rPr>
        <w:t>。主要是人员调动变动。</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4.</w:t>
      </w:r>
      <w:r>
        <w:rPr>
          <w:rFonts w:hint="eastAsia" w:ascii="仿宋_GB2312" w:hAnsi="Times New Roman" w:eastAsia="仿宋_GB2312" w:cs="仿宋"/>
          <w:color w:val="000000"/>
          <w:sz w:val="32"/>
          <w:szCs w:val="32"/>
        </w:rPr>
        <w:t>社会保障和就业支出（类）红十字事业（款）一般行政管理事务（项）</w:t>
      </w:r>
      <w:r>
        <w:rPr>
          <w:rFonts w:ascii="仿宋_GB2312" w:hAnsi="Times New Roman" w:eastAsia="仿宋_GB2312" w:cs="仿宋"/>
          <w:color w:val="000000"/>
          <w:sz w:val="32"/>
          <w:szCs w:val="32"/>
        </w:rPr>
        <w:t>25.70</w:t>
      </w:r>
      <w:r>
        <w:rPr>
          <w:rFonts w:hint="eastAsia" w:ascii="仿宋_GB2312" w:hAnsi="Times New Roman" w:eastAsia="仿宋_GB2312" w:cs="仿宋"/>
          <w:color w:val="000000"/>
          <w:sz w:val="32"/>
          <w:szCs w:val="32"/>
        </w:rPr>
        <w:t>万元，比年初预算减少</w:t>
      </w:r>
      <w:r>
        <w:rPr>
          <w:rFonts w:ascii="仿宋_GB2312" w:hAnsi="Times New Roman" w:eastAsia="仿宋_GB2312" w:cs="仿宋"/>
          <w:color w:val="000000"/>
          <w:sz w:val="32"/>
          <w:szCs w:val="32"/>
        </w:rPr>
        <w:t>2.86</w:t>
      </w:r>
      <w:r>
        <w:rPr>
          <w:rFonts w:hint="eastAsia" w:ascii="仿宋_GB2312" w:hAnsi="Times New Roman" w:eastAsia="仿宋_GB2312" w:cs="仿宋"/>
          <w:color w:val="000000"/>
          <w:sz w:val="32"/>
          <w:szCs w:val="32"/>
        </w:rPr>
        <w:t>万元，减少</w:t>
      </w:r>
      <w:r>
        <w:rPr>
          <w:rFonts w:ascii="仿宋_GB2312" w:hAnsi="Times New Roman" w:eastAsia="仿宋_GB2312" w:cs="仿宋"/>
          <w:color w:val="000000"/>
          <w:sz w:val="32"/>
          <w:szCs w:val="32"/>
        </w:rPr>
        <w:t>10%</w:t>
      </w:r>
      <w:r>
        <w:rPr>
          <w:rFonts w:hint="eastAsia" w:ascii="仿宋_GB2312" w:hAnsi="Times New Roman" w:eastAsia="仿宋_GB2312" w:cs="仿宋"/>
          <w:color w:val="000000"/>
          <w:sz w:val="32"/>
          <w:szCs w:val="32"/>
        </w:rPr>
        <w:t>。主要是年初预算项目减压。</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5.</w:t>
      </w:r>
      <w:r>
        <w:rPr>
          <w:rFonts w:hint="eastAsia" w:ascii="仿宋_GB2312" w:hAnsi="Times New Roman" w:eastAsia="仿宋_GB2312" w:cs="仿宋"/>
          <w:color w:val="000000"/>
          <w:sz w:val="32"/>
          <w:szCs w:val="32"/>
        </w:rPr>
        <w:t>社会保障和就业支出（类）红十字事业（款）其他红十字事业支出（项）</w:t>
      </w:r>
      <w:r>
        <w:rPr>
          <w:rFonts w:ascii="仿宋_GB2312" w:hAnsi="Times New Roman" w:eastAsia="仿宋_GB2312" w:cs="仿宋"/>
          <w:color w:val="000000"/>
          <w:sz w:val="32"/>
          <w:szCs w:val="32"/>
        </w:rPr>
        <w:t>149.98</w:t>
      </w:r>
      <w:r>
        <w:rPr>
          <w:rFonts w:hint="eastAsia" w:ascii="仿宋_GB2312" w:hAnsi="Times New Roman" w:eastAsia="仿宋_GB2312" w:cs="仿宋"/>
          <w:color w:val="000000"/>
          <w:sz w:val="32"/>
          <w:szCs w:val="32"/>
        </w:rPr>
        <w:t>万元，比年初预算相同。</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6.</w:t>
      </w:r>
      <w:r>
        <w:rPr>
          <w:rFonts w:hint="eastAsia" w:ascii="仿宋_GB2312" w:hAnsi="Times New Roman" w:eastAsia="仿宋_GB2312" w:cs="仿宋"/>
          <w:color w:val="000000"/>
          <w:sz w:val="32"/>
          <w:szCs w:val="32"/>
        </w:rPr>
        <w:t>医疗卫生与计划生育（类）医疗保障（款）行政单位医疗（项）</w:t>
      </w:r>
      <w:r>
        <w:rPr>
          <w:rFonts w:ascii="仿宋_GB2312" w:hAnsi="Times New Roman" w:eastAsia="仿宋_GB2312" w:cs="仿宋"/>
          <w:color w:val="000000"/>
          <w:sz w:val="32"/>
          <w:szCs w:val="32"/>
        </w:rPr>
        <w:t>8.09</w:t>
      </w:r>
      <w:r>
        <w:rPr>
          <w:rFonts w:hint="eastAsia" w:ascii="仿宋_GB2312" w:hAnsi="Times New Roman" w:eastAsia="仿宋_GB2312" w:cs="仿宋"/>
          <w:color w:val="000000"/>
          <w:sz w:val="32"/>
          <w:szCs w:val="32"/>
        </w:rPr>
        <w:t>万元，比年初预算减少</w:t>
      </w:r>
      <w:r>
        <w:rPr>
          <w:rFonts w:ascii="仿宋_GB2312" w:hAnsi="Times New Roman" w:eastAsia="仿宋_GB2312" w:cs="仿宋"/>
          <w:color w:val="000000"/>
          <w:sz w:val="32"/>
          <w:szCs w:val="32"/>
        </w:rPr>
        <w:t>1.36</w:t>
      </w:r>
      <w:r>
        <w:rPr>
          <w:rFonts w:hint="eastAsia" w:ascii="仿宋_GB2312" w:hAnsi="Times New Roman" w:eastAsia="仿宋_GB2312" w:cs="仿宋"/>
          <w:color w:val="000000"/>
          <w:sz w:val="32"/>
          <w:szCs w:val="32"/>
        </w:rPr>
        <w:t>万元，减少</w:t>
      </w:r>
      <w:r>
        <w:rPr>
          <w:rFonts w:ascii="仿宋_GB2312" w:hAnsi="Times New Roman" w:eastAsia="仿宋_GB2312" w:cs="仿宋"/>
          <w:color w:val="000000"/>
          <w:sz w:val="32"/>
          <w:szCs w:val="32"/>
        </w:rPr>
        <w:t>14.39%</w:t>
      </w:r>
      <w:r>
        <w:rPr>
          <w:rFonts w:hint="eastAsia" w:ascii="仿宋_GB2312" w:hAnsi="Times New Roman" w:eastAsia="仿宋_GB2312" w:cs="仿宋"/>
          <w:color w:val="000000"/>
          <w:sz w:val="32"/>
          <w:szCs w:val="32"/>
        </w:rPr>
        <w:t>。主要原因是在职人员调动变动。</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7.</w:t>
      </w:r>
      <w:r>
        <w:rPr>
          <w:rFonts w:hint="eastAsia" w:ascii="仿宋_GB2312" w:hAnsi="Times New Roman" w:eastAsia="仿宋_GB2312" w:cs="仿宋"/>
          <w:color w:val="000000"/>
          <w:sz w:val="32"/>
          <w:szCs w:val="32"/>
        </w:rPr>
        <w:t>住房保障支出（类）住房改革支出（款）住房公积金（项）</w:t>
      </w:r>
      <w:r>
        <w:rPr>
          <w:rFonts w:ascii="仿宋_GB2312" w:hAnsi="Times New Roman" w:eastAsia="仿宋_GB2312" w:cs="仿宋"/>
          <w:color w:val="000000"/>
          <w:sz w:val="32"/>
          <w:szCs w:val="32"/>
        </w:rPr>
        <w:t>14.22</w:t>
      </w:r>
      <w:r>
        <w:rPr>
          <w:rFonts w:hint="eastAsia" w:ascii="仿宋_GB2312" w:hAnsi="Times New Roman" w:eastAsia="仿宋_GB2312" w:cs="仿宋"/>
          <w:color w:val="000000"/>
          <w:sz w:val="32"/>
          <w:szCs w:val="32"/>
        </w:rPr>
        <w:t>万元，比年初预算增加</w:t>
      </w:r>
      <w:r>
        <w:rPr>
          <w:rFonts w:ascii="仿宋_GB2312" w:hAnsi="Times New Roman" w:eastAsia="仿宋_GB2312" w:cs="仿宋"/>
          <w:color w:val="000000"/>
          <w:sz w:val="32"/>
          <w:szCs w:val="32"/>
        </w:rPr>
        <w:t>1.52</w:t>
      </w:r>
      <w:r>
        <w:rPr>
          <w:rFonts w:hint="eastAsia" w:ascii="仿宋_GB2312" w:hAnsi="Times New Roman" w:eastAsia="仿宋_GB2312" w:cs="仿宋"/>
          <w:color w:val="000000"/>
          <w:sz w:val="32"/>
          <w:szCs w:val="32"/>
        </w:rPr>
        <w:t>万元，增长</w:t>
      </w:r>
      <w:r>
        <w:rPr>
          <w:rFonts w:ascii="仿宋_GB2312" w:hAnsi="Times New Roman" w:eastAsia="仿宋_GB2312" w:cs="仿宋"/>
          <w:color w:val="000000"/>
          <w:sz w:val="32"/>
          <w:szCs w:val="32"/>
        </w:rPr>
        <w:t>11.97%</w:t>
      </w:r>
      <w:r>
        <w:rPr>
          <w:rFonts w:hint="eastAsia" w:ascii="仿宋_GB2312" w:hAnsi="Times New Roman" w:eastAsia="仿宋_GB2312" w:cs="仿宋"/>
          <w:color w:val="000000"/>
          <w:sz w:val="32"/>
          <w:szCs w:val="32"/>
        </w:rPr>
        <w:t>。主要原因是在职人员住房公积金调整。</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8.</w:t>
      </w:r>
      <w:r>
        <w:rPr>
          <w:rFonts w:hint="eastAsia" w:ascii="仿宋_GB2312" w:hAnsi="Times New Roman" w:eastAsia="仿宋_GB2312" w:cs="仿宋"/>
          <w:color w:val="000000"/>
          <w:sz w:val="32"/>
          <w:szCs w:val="32"/>
        </w:rPr>
        <w:t>住房保障支出（类）住房改革支出（款）住房补贴（项）</w:t>
      </w:r>
      <w:r>
        <w:rPr>
          <w:rFonts w:ascii="仿宋_GB2312" w:hAnsi="Times New Roman" w:eastAsia="仿宋_GB2312" w:cs="仿宋"/>
          <w:color w:val="000000"/>
          <w:sz w:val="32"/>
          <w:szCs w:val="32"/>
        </w:rPr>
        <w:t>0.18</w:t>
      </w:r>
      <w:r>
        <w:rPr>
          <w:rFonts w:hint="eastAsia" w:ascii="仿宋_GB2312" w:hAnsi="Times New Roman" w:eastAsia="仿宋_GB2312" w:cs="仿宋"/>
          <w:color w:val="000000"/>
          <w:sz w:val="32"/>
          <w:szCs w:val="32"/>
        </w:rPr>
        <w:t>万元，比年初预算减少</w:t>
      </w:r>
      <w:r>
        <w:rPr>
          <w:rFonts w:ascii="仿宋_GB2312" w:hAnsi="Times New Roman" w:eastAsia="仿宋_GB2312" w:cs="仿宋"/>
          <w:color w:val="000000"/>
          <w:sz w:val="32"/>
          <w:szCs w:val="32"/>
        </w:rPr>
        <w:t>0.52</w:t>
      </w:r>
      <w:r>
        <w:rPr>
          <w:rFonts w:hint="eastAsia" w:ascii="仿宋_GB2312" w:hAnsi="Times New Roman" w:eastAsia="仿宋_GB2312" w:cs="仿宋"/>
          <w:color w:val="000000"/>
          <w:sz w:val="32"/>
          <w:szCs w:val="32"/>
        </w:rPr>
        <w:t>万元，减少</w:t>
      </w:r>
      <w:r>
        <w:rPr>
          <w:rFonts w:ascii="仿宋_GB2312" w:hAnsi="Times New Roman" w:eastAsia="仿宋_GB2312" w:cs="仿宋"/>
          <w:color w:val="000000"/>
          <w:sz w:val="32"/>
          <w:szCs w:val="32"/>
        </w:rPr>
        <w:t>7.43%</w:t>
      </w:r>
      <w:r>
        <w:rPr>
          <w:rFonts w:hint="eastAsia" w:ascii="仿宋_GB2312" w:hAnsi="Times New Roman" w:eastAsia="仿宋_GB2312" w:cs="仿宋"/>
          <w:color w:val="000000"/>
          <w:sz w:val="32"/>
          <w:szCs w:val="32"/>
        </w:rPr>
        <w:t>。主要是今年</w:t>
      </w:r>
      <w:r>
        <w:rPr>
          <w:rFonts w:ascii="仿宋_GB2312" w:hAnsi="Times New Roman" w:eastAsia="仿宋_GB2312" w:cs="仿宋"/>
          <w:color w:val="000000"/>
          <w:sz w:val="32"/>
          <w:szCs w:val="32"/>
        </w:rPr>
        <w:t>10</w:t>
      </w:r>
      <w:r>
        <w:rPr>
          <w:rFonts w:hint="eastAsia" w:ascii="仿宋_GB2312" w:hAnsi="Times New Roman" w:eastAsia="仿宋_GB2312" w:cs="仿宋"/>
          <w:color w:val="000000"/>
          <w:sz w:val="32"/>
          <w:szCs w:val="32"/>
        </w:rPr>
        <w:t>月份人员调入。</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 xml:space="preserve">9. </w:t>
      </w:r>
      <w:r>
        <w:rPr>
          <w:rFonts w:hint="eastAsia" w:ascii="仿宋_GB2312" w:hAnsi="Times New Roman" w:eastAsia="仿宋_GB2312" w:cs="仿宋"/>
          <w:color w:val="000000"/>
          <w:sz w:val="32"/>
          <w:szCs w:val="32"/>
        </w:rPr>
        <w:t>其他支出（类）其他政府性基金及对应专项债务收入安排的支出（款）其他政府性基金及对应专项债务收入安排的支出（项）</w:t>
      </w:r>
      <w:r>
        <w:rPr>
          <w:rFonts w:ascii="仿宋_GB2312" w:hAnsi="Times New Roman" w:eastAsia="仿宋_GB2312" w:cs="仿宋"/>
          <w:color w:val="000000"/>
          <w:sz w:val="32"/>
          <w:szCs w:val="32"/>
        </w:rPr>
        <w:t>23.67</w:t>
      </w:r>
      <w:r>
        <w:rPr>
          <w:rFonts w:hint="eastAsia" w:ascii="仿宋_GB2312" w:hAnsi="Times New Roman" w:eastAsia="仿宋_GB2312" w:cs="仿宋"/>
          <w:color w:val="000000"/>
          <w:sz w:val="32"/>
          <w:szCs w:val="32"/>
        </w:rPr>
        <w:t>万元，比年初预算增加</w:t>
      </w:r>
      <w:r>
        <w:rPr>
          <w:rFonts w:ascii="仿宋_GB2312" w:hAnsi="Times New Roman" w:eastAsia="仿宋_GB2312" w:cs="仿宋"/>
          <w:color w:val="000000"/>
          <w:sz w:val="32"/>
          <w:szCs w:val="32"/>
        </w:rPr>
        <w:t>23.67</w:t>
      </w:r>
      <w:r>
        <w:rPr>
          <w:rFonts w:hint="eastAsia" w:ascii="仿宋_GB2312" w:hAnsi="Times New Roman" w:eastAsia="仿宋_GB2312" w:cs="仿宋"/>
          <w:color w:val="000000"/>
          <w:sz w:val="32"/>
          <w:szCs w:val="32"/>
        </w:rPr>
        <w:t>万元，增加</w:t>
      </w:r>
      <w:r>
        <w:rPr>
          <w:rFonts w:ascii="仿宋_GB2312" w:hAnsi="Times New Roman" w:eastAsia="仿宋_GB2312" w:cs="仿宋"/>
          <w:color w:val="000000"/>
          <w:sz w:val="32"/>
          <w:szCs w:val="32"/>
        </w:rPr>
        <w:t>100%</w:t>
      </w:r>
      <w:r>
        <w:rPr>
          <w:rFonts w:hint="eastAsia" w:ascii="仿宋_GB2312" w:hAnsi="Times New Roman" w:eastAsia="仿宋_GB2312" w:cs="仿宋"/>
          <w:color w:val="000000"/>
          <w:sz w:val="32"/>
          <w:szCs w:val="32"/>
        </w:rPr>
        <w:t>。主要财政下拨年终人员追加经费。</w:t>
      </w:r>
    </w:p>
    <w:p>
      <w:pPr>
        <w:autoSpaceDE w:val="0"/>
        <w:autoSpaceDN w:val="0"/>
        <w:adjustRightInd w:val="0"/>
        <w:spacing w:line="560" w:lineRule="exact"/>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（六）一般公共预算财政拨款基本支出情况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年度一般公共预算财政拨款基本支出</w:t>
      </w:r>
      <w:r>
        <w:rPr>
          <w:rFonts w:ascii="仿宋_GB2312" w:hAnsi="Times New Roman" w:eastAsia="仿宋_GB2312" w:cs="仿宋"/>
          <w:color w:val="000000"/>
          <w:sz w:val="32"/>
          <w:szCs w:val="32"/>
        </w:rPr>
        <w:t>423.45</w:t>
      </w:r>
      <w:r>
        <w:rPr>
          <w:rFonts w:hint="eastAsia" w:ascii="仿宋_GB2312" w:hAnsi="Times New Roman" w:eastAsia="仿宋_GB2312" w:cs="仿宋"/>
          <w:color w:val="000000"/>
          <w:sz w:val="32"/>
          <w:szCs w:val="32"/>
        </w:rPr>
        <w:t>万元。其中：人员经费</w:t>
      </w:r>
      <w:r>
        <w:rPr>
          <w:rFonts w:ascii="仿宋_GB2312" w:hAnsi="Times New Roman" w:eastAsia="仿宋_GB2312" w:cs="仿宋"/>
          <w:color w:val="000000"/>
          <w:sz w:val="32"/>
          <w:szCs w:val="32"/>
        </w:rPr>
        <w:t>220.25</w:t>
      </w:r>
      <w:r>
        <w:rPr>
          <w:rFonts w:hint="eastAsia" w:ascii="仿宋_GB2312" w:hAnsi="Times New Roman" w:eastAsia="仿宋_GB2312" w:cs="仿宋"/>
          <w:color w:val="000000"/>
          <w:sz w:val="32"/>
          <w:szCs w:val="32"/>
        </w:rPr>
        <w:t>万元，包括在职人员工资、医疗费、住房公积金和退休人员工资；公用经费</w:t>
      </w:r>
      <w:r>
        <w:rPr>
          <w:rFonts w:ascii="仿宋_GB2312" w:hAnsi="Times New Roman" w:eastAsia="仿宋_GB2312" w:cs="仿宋"/>
          <w:color w:val="000000"/>
          <w:sz w:val="32"/>
          <w:szCs w:val="32"/>
        </w:rPr>
        <w:t>27.52</w:t>
      </w:r>
      <w:r>
        <w:rPr>
          <w:rFonts w:hint="eastAsia" w:ascii="仿宋_GB2312" w:hAnsi="Times New Roman" w:eastAsia="仿宋_GB2312" w:cs="仿宋"/>
          <w:color w:val="000000"/>
          <w:sz w:val="32"/>
          <w:szCs w:val="32"/>
        </w:rPr>
        <w:t>万元，包括办公费、邮电费、水电费、差旅费、会议费、培训费、公务接待费、其他交通费用等。</w:t>
      </w:r>
    </w:p>
    <w:p>
      <w:pPr>
        <w:autoSpaceDE w:val="0"/>
        <w:autoSpaceDN w:val="0"/>
        <w:adjustRightInd w:val="0"/>
        <w:spacing w:line="560" w:lineRule="exact"/>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（七）政府性基金预算财政拨款收入支出情况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年度政府性基金预算年初结转</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万元，本年收入</w:t>
      </w:r>
      <w:r>
        <w:rPr>
          <w:rFonts w:ascii="仿宋_GB2312" w:hAnsi="Times New Roman" w:eastAsia="仿宋_GB2312" w:cs="仿宋"/>
          <w:color w:val="000000"/>
          <w:sz w:val="32"/>
          <w:szCs w:val="32"/>
        </w:rPr>
        <w:t>23.67</w:t>
      </w:r>
      <w:r>
        <w:rPr>
          <w:rFonts w:hint="eastAsia" w:ascii="仿宋_GB2312" w:hAnsi="Times New Roman" w:eastAsia="仿宋_GB2312" w:cs="仿宋"/>
          <w:color w:val="000000"/>
          <w:sz w:val="32"/>
          <w:szCs w:val="32"/>
        </w:rPr>
        <w:t>万元，本年支出</w:t>
      </w:r>
      <w:r>
        <w:rPr>
          <w:rFonts w:ascii="仿宋_GB2312" w:hAnsi="Times New Roman" w:eastAsia="仿宋_GB2312" w:cs="仿宋"/>
          <w:color w:val="000000"/>
          <w:sz w:val="32"/>
          <w:szCs w:val="32"/>
        </w:rPr>
        <w:t>23.67</w:t>
      </w:r>
      <w:r>
        <w:rPr>
          <w:rFonts w:hint="eastAsia" w:ascii="仿宋_GB2312" w:hAnsi="Times New Roman" w:eastAsia="仿宋_GB2312" w:cs="仿宋"/>
          <w:color w:val="000000"/>
          <w:sz w:val="32"/>
          <w:szCs w:val="32"/>
        </w:rPr>
        <w:t>万元，年末结转</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万元。支出具体情况如下：</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．社会保障和就业支出（类）红十字事业（款）行政运行（项）事务支出</w:t>
      </w:r>
      <w:r>
        <w:rPr>
          <w:rFonts w:ascii="仿宋_GB2312" w:hAnsi="Times New Roman" w:eastAsia="仿宋_GB2312" w:cs="仿宋"/>
          <w:color w:val="000000"/>
          <w:sz w:val="32"/>
          <w:szCs w:val="32"/>
        </w:rPr>
        <w:t>23.67</w:t>
      </w:r>
      <w:r>
        <w:rPr>
          <w:rFonts w:hint="eastAsia" w:ascii="仿宋_GB2312" w:hAnsi="Times New Roman" w:eastAsia="仿宋_GB2312" w:cs="仿宋"/>
          <w:color w:val="000000"/>
          <w:sz w:val="32"/>
          <w:szCs w:val="32"/>
        </w:rPr>
        <w:t>万元，比年初预算增加</w:t>
      </w:r>
      <w:r>
        <w:rPr>
          <w:rFonts w:ascii="仿宋_GB2312" w:hAnsi="Times New Roman" w:eastAsia="仿宋_GB2312" w:cs="仿宋"/>
          <w:color w:val="000000"/>
          <w:sz w:val="32"/>
          <w:szCs w:val="32"/>
        </w:rPr>
        <w:t>23.67</w:t>
      </w:r>
      <w:r>
        <w:rPr>
          <w:rFonts w:hint="eastAsia" w:ascii="仿宋_GB2312" w:hAnsi="Times New Roman" w:eastAsia="仿宋_GB2312" w:cs="仿宋"/>
          <w:color w:val="000000"/>
          <w:sz w:val="32"/>
          <w:szCs w:val="32"/>
        </w:rPr>
        <w:t>万元，增长</w:t>
      </w:r>
      <w:r>
        <w:rPr>
          <w:rFonts w:ascii="仿宋_GB2312" w:hAnsi="Times New Roman" w:eastAsia="仿宋_GB2312" w:cs="仿宋"/>
          <w:color w:val="000000"/>
          <w:sz w:val="32"/>
          <w:szCs w:val="32"/>
        </w:rPr>
        <w:t>100%</w:t>
      </w:r>
      <w:r>
        <w:rPr>
          <w:rFonts w:hint="eastAsia" w:ascii="仿宋_GB2312" w:hAnsi="Times New Roman" w:eastAsia="仿宋_GB2312" w:cs="仿宋"/>
          <w:color w:val="000000"/>
          <w:sz w:val="32"/>
          <w:szCs w:val="32"/>
        </w:rPr>
        <w:t>。主要是财政下拨年终人员追加经费。</w:t>
      </w:r>
    </w:p>
    <w:p>
      <w:pPr>
        <w:autoSpaceDE w:val="0"/>
        <w:autoSpaceDN w:val="0"/>
        <w:adjustRightInd w:val="0"/>
        <w:spacing w:line="560" w:lineRule="exact"/>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（八）一般公共预算</w:t>
      </w:r>
      <w:r>
        <w:rPr>
          <w:rFonts w:ascii="楷体_GB2312" w:hAnsi="Times New Roman" w:eastAsia="楷体_GB2312" w:cs="仿宋"/>
          <w:kern w:val="0"/>
          <w:sz w:val="32"/>
          <w:szCs w:val="32"/>
        </w:rPr>
        <w:t>“</w:t>
      </w:r>
      <w:r>
        <w:rPr>
          <w:rFonts w:hint="eastAsia" w:ascii="楷体_GB2312" w:hAnsi="Times New Roman" w:eastAsia="楷体_GB2312" w:cs="仿宋"/>
          <w:kern w:val="0"/>
          <w:sz w:val="32"/>
          <w:szCs w:val="32"/>
        </w:rPr>
        <w:t>三公</w:t>
      </w:r>
      <w:r>
        <w:rPr>
          <w:rFonts w:ascii="楷体_GB2312" w:hAnsi="Times New Roman" w:eastAsia="楷体_GB2312" w:cs="仿宋"/>
          <w:kern w:val="0"/>
          <w:sz w:val="32"/>
          <w:szCs w:val="32"/>
        </w:rPr>
        <w:t>”</w:t>
      </w:r>
      <w:r>
        <w:rPr>
          <w:rFonts w:hint="eastAsia" w:ascii="楷体_GB2312" w:hAnsi="Times New Roman" w:eastAsia="楷体_GB2312" w:cs="仿宋"/>
          <w:kern w:val="0"/>
          <w:sz w:val="32"/>
          <w:szCs w:val="32"/>
        </w:rPr>
        <w:t>经费决算情况</w:t>
      </w:r>
    </w:p>
    <w:p>
      <w:pPr>
        <w:autoSpaceDE w:val="0"/>
        <w:autoSpaceDN w:val="0"/>
        <w:adjustRightInd w:val="0"/>
        <w:spacing w:line="560" w:lineRule="exact"/>
        <w:ind w:firstLine="600"/>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年度一般公共预算财政拨款“三公”经费支出</w:t>
      </w:r>
      <w:r>
        <w:rPr>
          <w:rFonts w:ascii="仿宋_GB2312" w:hAnsi="Times New Roman" w:eastAsia="仿宋_GB2312" w:cs="仿宋"/>
          <w:color w:val="000000"/>
          <w:sz w:val="32"/>
          <w:szCs w:val="32"/>
        </w:rPr>
        <w:t>0.56</w:t>
      </w:r>
      <w:r>
        <w:rPr>
          <w:rFonts w:hint="eastAsia" w:ascii="仿宋_GB2312" w:hAnsi="Times New Roman" w:eastAsia="仿宋_GB2312" w:cs="仿宋"/>
          <w:color w:val="000000"/>
          <w:sz w:val="32"/>
          <w:szCs w:val="32"/>
        </w:rPr>
        <w:t>万元，比年初预算减少</w:t>
      </w:r>
      <w:r>
        <w:rPr>
          <w:rFonts w:ascii="仿宋_GB2312" w:hAnsi="Times New Roman" w:eastAsia="仿宋_GB2312" w:cs="仿宋"/>
          <w:color w:val="000000"/>
          <w:sz w:val="32"/>
          <w:szCs w:val="32"/>
        </w:rPr>
        <w:t>0.44</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44%</w:t>
      </w:r>
      <w:r>
        <w:rPr>
          <w:rFonts w:hint="eastAsia" w:ascii="仿宋_GB2312" w:hAnsi="Times New Roman" w:eastAsia="仿宋_GB2312" w:cs="仿宋"/>
          <w:color w:val="000000"/>
          <w:sz w:val="32"/>
          <w:szCs w:val="32"/>
        </w:rPr>
        <w:t>，主要原因是接待任务较少；比上年决算数减少</w:t>
      </w:r>
      <w:r>
        <w:rPr>
          <w:rFonts w:ascii="仿宋_GB2312" w:hAnsi="Times New Roman" w:eastAsia="仿宋_GB2312" w:cs="仿宋"/>
          <w:color w:val="000000"/>
          <w:sz w:val="32"/>
          <w:szCs w:val="32"/>
        </w:rPr>
        <w:t>0.14</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2.00%</w:t>
      </w:r>
      <w:r>
        <w:rPr>
          <w:rFonts w:hint="eastAsia" w:ascii="仿宋_GB2312" w:hAnsi="Times New Roman" w:eastAsia="仿宋_GB2312" w:cs="仿宋"/>
          <w:color w:val="000000"/>
          <w:sz w:val="32"/>
          <w:szCs w:val="32"/>
        </w:rPr>
        <w:t>，减少的主要原因是接待任务较少。</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因公出国（境）费用：根据外事部门安排的因公出国计划和实际工作需要，</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年度一般公共预算财政拨款因公出国（境）支出</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万元，比年初预算增加（减少）</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万元，增长（下降）</w:t>
      </w:r>
      <w:r>
        <w:rPr>
          <w:rFonts w:ascii="仿宋_GB2312" w:hAnsi="Times New Roman" w:eastAsia="仿宋_GB2312" w:cs="仿宋"/>
          <w:color w:val="000000"/>
          <w:sz w:val="32"/>
          <w:szCs w:val="32"/>
        </w:rPr>
        <w:t>0 %</w:t>
      </w:r>
      <w:r>
        <w:rPr>
          <w:rFonts w:hint="eastAsia" w:ascii="仿宋_GB2312" w:hAnsi="Times New Roman" w:eastAsia="仿宋_GB2312" w:cs="仿宋"/>
          <w:color w:val="000000"/>
          <w:sz w:val="32"/>
          <w:szCs w:val="32"/>
        </w:rPr>
        <w:t>，主要原因是今年没有安排出国（境）经费；比上年决算数增加（减少）</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万元，增长（下降）</w:t>
      </w:r>
      <w:r>
        <w:rPr>
          <w:rFonts w:ascii="仿宋_GB2312" w:hAnsi="Times New Roman" w:eastAsia="仿宋_GB2312" w:cs="仿宋"/>
          <w:color w:val="000000"/>
          <w:sz w:val="32"/>
          <w:szCs w:val="32"/>
        </w:rPr>
        <w:t>0 %</w:t>
      </w:r>
      <w:r>
        <w:rPr>
          <w:rFonts w:hint="eastAsia" w:ascii="仿宋_GB2312" w:hAnsi="Times New Roman" w:eastAsia="仿宋_GB2312" w:cs="仿宋"/>
          <w:color w:val="000000"/>
          <w:sz w:val="32"/>
          <w:szCs w:val="32"/>
        </w:rPr>
        <w:t>，主要原因是两年都没有该经费。因公出国（境）费用主要用于机关人员外出公务考察等公务出国（境）的住宿费、国际旅费、培训费、公杂费等支出。本部门全年组织因公出国</w:t>
      </w:r>
      <w:r>
        <w:rPr>
          <w:rFonts w:ascii="仿宋_GB2312" w:hAnsi="Times New Roman" w:eastAsia="仿宋_GB2312" w:cs="仿宋"/>
          <w:color w:val="000000"/>
          <w:sz w:val="32"/>
          <w:szCs w:val="32"/>
        </w:rPr>
        <w:t>(</w:t>
      </w:r>
      <w:r>
        <w:rPr>
          <w:rFonts w:hint="eastAsia" w:ascii="仿宋_GB2312" w:hAnsi="Times New Roman" w:eastAsia="仿宋_GB2312" w:cs="仿宋"/>
          <w:color w:val="000000"/>
          <w:sz w:val="32"/>
          <w:szCs w:val="32"/>
        </w:rPr>
        <w:t>境</w:t>
      </w:r>
      <w:r>
        <w:rPr>
          <w:rFonts w:ascii="仿宋_GB2312" w:hAnsi="Times New Roman" w:eastAsia="仿宋_GB2312" w:cs="仿宋"/>
          <w:color w:val="000000"/>
          <w:sz w:val="32"/>
          <w:szCs w:val="32"/>
        </w:rPr>
        <w:t>)</w:t>
      </w:r>
      <w:r>
        <w:rPr>
          <w:rFonts w:hint="eastAsia" w:ascii="仿宋_GB2312" w:hAnsi="Times New Roman" w:eastAsia="仿宋_GB2312" w:cs="仿宋"/>
          <w:color w:val="000000"/>
          <w:sz w:val="32"/>
          <w:szCs w:val="32"/>
        </w:rPr>
        <w:t>团组</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个；本部门全年因公出国</w:t>
      </w:r>
      <w:r>
        <w:rPr>
          <w:rFonts w:ascii="仿宋_GB2312" w:hAnsi="Times New Roman" w:eastAsia="仿宋_GB2312" w:cs="仿宋"/>
          <w:color w:val="000000"/>
          <w:sz w:val="32"/>
          <w:szCs w:val="32"/>
        </w:rPr>
        <w:t>(</w:t>
      </w:r>
      <w:r>
        <w:rPr>
          <w:rFonts w:hint="eastAsia" w:ascii="仿宋_GB2312" w:hAnsi="Times New Roman" w:eastAsia="仿宋_GB2312" w:cs="仿宋"/>
          <w:color w:val="000000"/>
          <w:sz w:val="32"/>
          <w:szCs w:val="32"/>
        </w:rPr>
        <w:t>境</w:t>
      </w:r>
      <w:r>
        <w:rPr>
          <w:rFonts w:ascii="仿宋_GB2312" w:hAnsi="Times New Roman" w:eastAsia="仿宋_GB2312" w:cs="仿宋"/>
          <w:color w:val="000000"/>
          <w:sz w:val="32"/>
          <w:szCs w:val="32"/>
        </w:rPr>
        <w:t>)</w:t>
      </w:r>
      <w:r>
        <w:rPr>
          <w:rFonts w:hint="eastAsia" w:ascii="仿宋_GB2312" w:hAnsi="Times New Roman" w:eastAsia="仿宋_GB2312" w:cs="仿宋"/>
          <w:color w:val="000000"/>
          <w:sz w:val="32"/>
          <w:szCs w:val="32"/>
        </w:rPr>
        <w:t>累计</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人次。</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公务接待费：</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年度一般公共预算财政拨款公务接待费支出</w:t>
      </w:r>
      <w:r>
        <w:rPr>
          <w:rFonts w:ascii="仿宋_GB2312" w:hAnsi="Times New Roman" w:eastAsia="仿宋_GB2312" w:cs="仿宋"/>
          <w:color w:val="000000"/>
          <w:sz w:val="32"/>
          <w:szCs w:val="32"/>
        </w:rPr>
        <w:t>0.56</w:t>
      </w:r>
      <w:r>
        <w:rPr>
          <w:rFonts w:hint="eastAsia" w:ascii="仿宋_GB2312" w:hAnsi="Times New Roman" w:eastAsia="仿宋_GB2312" w:cs="仿宋"/>
          <w:color w:val="000000"/>
          <w:sz w:val="32"/>
          <w:szCs w:val="32"/>
        </w:rPr>
        <w:t>万元，比年初预算减少</w:t>
      </w:r>
      <w:r>
        <w:rPr>
          <w:rFonts w:ascii="仿宋_GB2312" w:hAnsi="Times New Roman" w:eastAsia="仿宋_GB2312" w:cs="仿宋"/>
          <w:color w:val="000000"/>
          <w:sz w:val="32"/>
          <w:szCs w:val="32"/>
        </w:rPr>
        <w:t>0.44</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44%</w:t>
      </w:r>
      <w:r>
        <w:rPr>
          <w:rFonts w:hint="eastAsia" w:ascii="仿宋_GB2312" w:hAnsi="Times New Roman" w:eastAsia="仿宋_GB2312" w:cs="仿宋"/>
          <w:color w:val="000000"/>
          <w:sz w:val="32"/>
          <w:szCs w:val="32"/>
        </w:rPr>
        <w:t>，主要原因是接待任务较少；比上年决算数减少</w:t>
      </w:r>
      <w:r>
        <w:rPr>
          <w:rFonts w:ascii="仿宋_GB2312" w:hAnsi="Times New Roman" w:eastAsia="仿宋_GB2312" w:cs="仿宋"/>
          <w:color w:val="000000"/>
          <w:sz w:val="32"/>
          <w:szCs w:val="32"/>
        </w:rPr>
        <w:t>0.14</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2.00%</w:t>
      </w:r>
      <w:r>
        <w:rPr>
          <w:rFonts w:hint="eastAsia" w:ascii="仿宋_GB2312" w:hAnsi="Times New Roman" w:eastAsia="仿宋_GB2312" w:cs="仿宋"/>
          <w:color w:val="000000"/>
          <w:sz w:val="32"/>
          <w:szCs w:val="32"/>
        </w:rPr>
        <w:t>，减少的主要原因是接待任务较少。公务接待费主要用于接待各类公务活动等支出。其中，本部门国内公务接待</w:t>
      </w:r>
      <w:r>
        <w:rPr>
          <w:rFonts w:ascii="仿宋_GB2312" w:hAnsi="Times New Roman" w:eastAsia="仿宋_GB2312" w:cs="仿宋"/>
          <w:color w:val="000000"/>
          <w:sz w:val="32"/>
          <w:szCs w:val="32"/>
        </w:rPr>
        <w:t>4</w:t>
      </w:r>
      <w:r>
        <w:rPr>
          <w:rFonts w:hint="eastAsia" w:ascii="仿宋_GB2312" w:hAnsi="Times New Roman" w:eastAsia="仿宋_GB2312" w:cs="仿宋"/>
          <w:color w:val="000000"/>
          <w:sz w:val="32"/>
          <w:szCs w:val="32"/>
        </w:rPr>
        <w:t>批次，</w:t>
      </w:r>
      <w:r>
        <w:rPr>
          <w:rFonts w:ascii="仿宋_GB2312" w:hAnsi="Times New Roman" w:eastAsia="仿宋_GB2312" w:cs="仿宋"/>
          <w:color w:val="000000"/>
          <w:sz w:val="32"/>
          <w:szCs w:val="32"/>
        </w:rPr>
        <w:t>27</w:t>
      </w:r>
      <w:r>
        <w:rPr>
          <w:rFonts w:hint="eastAsia" w:ascii="仿宋_GB2312" w:hAnsi="Times New Roman" w:eastAsia="仿宋_GB2312" w:cs="仿宋"/>
          <w:color w:val="000000"/>
          <w:sz w:val="32"/>
          <w:szCs w:val="32"/>
        </w:rPr>
        <w:t>人次，支出</w:t>
      </w:r>
      <w:r>
        <w:rPr>
          <w:rFonts w:ascii="仿宋_GB2312" w:hAnsi="Times New Roman" w:eastAsia="仿宋_GB2312" w:cs="仿宋"/>
          <w:color w:val="000000"/>
          <w:sz w:val="32"/>
          <w:szCs w:val="32"/>
        </w:rPr>
        <w:t>0.56</w:t>
      </w:r>
      <w:r>
        <w:rPr>
          <w:rFonts w:hint="eastAsia" w:ascii="仿宋_GB2312" w:hAnsi="Times New Roman" w:eastAsia="仿宋_GB2312" w:cs="仿宋"/>
          <w:color w:val="000000"/>
          <w:sz w:val="32"/>
          <w:szCs w:val="32"/>
        </w:rPr>
        <w:t>万元；国（境）外事接待</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批次，</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人次，支出</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3.</w:t>
      </w:r>
      <w:r>
        <w:rPr>
          <w:rFonts w:hint="eastAsia" w:ascii="仿宋_GB2312" w:hAnsi="Times New Roman" w:eastAsia="仿宋_GB2312" w:cs="仿宋"/>
          <w:color w:val="000000"/>
          <w:sz w:val="32"/>
          <w:szCs w:val="32"/>
        </w:rPr>
        <w:t>公务用车购置及运行维护费：</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年度一般公共预算财政拨款公务用车购置及运行维护费支出</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万元，比年初预算增加（减少）</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万元，增长（下降）</w:t>
      </w:r>
      <w:r>
        <w:rPr>
          <w:rFonts w:ascii="仿宋_GB2312" w:hAnsi="Times New Roman" w:eastAsia="仿宋_GB2312" w:cs="仿宋"/>
          <w:color w:val="000000"/>
          <w:sz w:val="32"/>
          <w:szCs w:val="32"/>
        </w:rPr>
        <w:t>0 %</w:t>
      </w:r>
      <w:r>
        <w:rPr>
          <w:rFonts w:hint="eastAsia" w:ascii="仿宋_GB2312" w:hAnsi="Times New Roman" w:eastAsia="仿宋_GB2312" w:cs="仿宋"/>
          <w:color w:val="000000"/>
          <w:sz w:val="32"/>
          <w:szCs w:val="32"/>
        </w:rPr>
        <w:t>，主要原因是本单位已执行公车改革制度；比上年决算数增加（减少）</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万元，增长（下降）</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。增加（或减少）的主要原因是本单位已执行公车改革制度。具体内容如下：</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公务用车购置支出</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万元（含购置税等附加费用），主要用于经批准购置的辆公务用车。</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公务用车运行维护费支出</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万元，主要用于本单位开展公务活动等等所需的公务用车燃料费、维修费、过路过桥费、保险费、安全奖励费用等支出。</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年度，本级及所属单位使用一般公共预算资金开支费用的公务用车保有量为</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辆。</w:t>
      </w:r>
    </w:p>
    <w:p>
      <w:pPr>
        <w:autoSpaceDE w:val="0"/>
        <w:autoSpaceDN w:val="0"/>
        <w:adjustRightInd w:val="0"/>
        <w:spacing w:line="560" w:lineRule="exact"/>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（九）其他重要事项情况说明</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机关运行经费支出情况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年度温州市红十字会机关</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家参公管理事业单位的机关运行经费支出</w:t>
      </w:r>
      <w:r>
        <w:rPr>
          <w:rFonts w:ascii="仿宋_GB2312" w:hAnsi="Times New Roman" w:eastAsia="仿宋_GB2312" w:cs="仿宋"/>
          <w:color w:val="000000"/>
          <w:sz w:val="32"/>
          <w:szCs w:val="32"/>
        </w:rPr>
        <w:t>27.52</w:t>
      </w:r>
      <w:r>
        <w:rPr>
          <w:rFonts w:hint="eastAsia" w:ascii="仿宋_GB2312" w:hAnsi="Times New Roman" w:eastAsia="仿宋_GB2312" w:cs="仿宋"/>
          <w:color w:val="000000"/>
          <w:sz w:val="32"/>
          <w:szCs w:val="32"/>
        </w:rPr>
        <w:t>万元，比上年减少</w:t>
      </w:r>
      <w:r>
        <w:rPr>
          <w:rFonts w:ascii="仿宋_GB2312" w:hAnsi="Times New Roman" w:eastAsia="仿宋_GB2312" w:cs="仿宋"/>
          <w:color w:val="000000"/>
          <w:sz w:val="32"/>
          <w:szCs w:val="32"/>
        </w:rPr>
        <w:t>4.66</w:t>
      </w:r>
      <w:r>
        <w:rPr>
          <w:rFonts w:hint="eastAsia" w:ascii="仿宋_GB2312" w:hAnsi="Times New Roman" w:eastAsia="仿宋_GB2312" w:cs="仿宋"/>
          <w:color w:val="000000"/>
          <w:sz w:val="32"/>
          <w:szCs w:val="32"/>
        </w:rPr>
        <w:t>万元，下降</w:t>
      </w:r>
      <w:r>
        <w:rPr>
          <w:rFonts w:ascii="仿宋_GB2312" w:hAnsi="Times New Roman" w:eastAsia="仿宋_GB2312" w:cs="仿宋"/>
          <w:color w:val="000000"/>
          <w:sz w:val="32"/>
          <w:szCs w:val="32"/>
        </w:rPr>
        <w:t>14.48%</w:t>
      </w:r>
      <w:r>
        <w:rPr>
          <w:rFonts w:hint="eastAsia" w:ascii="仿宋_GB2312" w:hAnsi="Times New Roman" w:eastAsia="仿宋_GB2312" w:cs="仿宋"/>
          <w:color w:val="000000"/>
          <w:sz w:val="32"/>
          <w:szCs w:val="32"/>
        </w:rPr>
        <w:t>，主要原因是人员调动变动。</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政府采购情况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年度温州市红十字会本级预算单位政府采购预算</w:t>
      </w:r>
      <w:r>
        <w:rPr>
          <w:rFonts w:ascii="仿宋_GB2312" w:hAnsi="Times New Roman" w:eastAsia="仿宋_GB2312" w:cs="仿宋"/>
          <w:color w:val="000000"/>
          <w:sz w:val="32"/>
          <w:szCs w:val="32"/>
        </w:rPr>
        <w:t>55.23</w:t>
      </w:r>
      <w:r>
        <w:rPr>
          <w:rFonts w:hint="eastAsia" w:ascii="仿宋_GB2312" w:hAnsi="Times New Roman" w:eastAsia="仿宋_GB2312" w:cs="仿宋"/>
          <w:color w:val="000000"/>
          <w:sz w:val="32"/>
          <w:szCs w:val="32"/>
        </w:rPr>
        <w:t>万元，采购支出总额</w:t>
      </w:r>
      <w:r>
        <w:rPr>
          <w:rFonts w:ascii="仿宋_GB2312" w:hAnsi="Times New Roman" w:eastAsia="仿宋_GB2312" w:cs="仿宋"/>
          <w:color w:val="000000"/>
          <w:sz w:val="32"/>
          <w:szCs w:val="32"/>
        </w:rPr>
        <w:t>55.23</w:t>
      </w:r>
      <w:r>
        <w:rPr>
          <w:rFonts w:hint="eastAsia" w:ascii="仿宋_GB2312" w:hAnsi="Times New Roman" w:eastAsia="仿宋_GB2312" w:cs="仿宋"/>
          <w:color w:val="000000"/>
          <w:sz w:val="32"/>
          <w:szCs w:val="32"/>
        </w:rPr>
        <w:t>万元。其中：服务采购支出</w:t>
      </w:r>
      <w:r>
        <w:rPr>
          <w:rFonts w:ascii="仿宋_GB2312" w:hAnsi="Times New Roman" w:eastAsia="仿宋_GB2312" w:cs="仿宋"/>
          <w:color w:val="000000"/>
          <w:sz w:val="32"/>
          <w:szCs w:val="32"/>
        </w:rPr>
        <w:t>55.23</w:t>
      </w:r>
      <w:r>
        <w:rPr>
          <w:rFonts w:hint="eastAsia" w:ascii="仿宋_GB2312" w:hAnsi="Times New Roman" w:eastAsia="仿宋_GB2312" w:cs="仿宋"/>
          <w:color w:val="000000"/>
          <w:sz w:val="32"/>
          <w:szCs w:val="32"/>
        </w:rPr>
        <w:t>万元。授予中小企业合同金额</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万元，占政府采购支出总额</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，其中：授予小微企业合同金额</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万元，占政府采购支出总额</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3.</w:t>
      </w:r>
      <w:r>
        <w:rPr>
          <w:rFonts w:hint="eastAsia" w:ascii="仿宋_GB2312" w:hAnsi="Times New Roman" w:eastAsia="仿宋_GB2312" w:cs="仿宋"/>
          <w:color w:val="000000"/>
          <w:sz w:val="32"/>
          <w:szCs w:val="32"/>
        </w:rPr>
        <w:t>国有资产占用情况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截</w:t>
      </w:r>
      <w:r>
        <w:rPr>
          <w:rFonts w:hint="eastAsia" w:ascii="仿宋_GB2312" w:hAnsi="Times New Roman" w:eastAsia="仿宋_GB2312" w:cs="仿宋"/>
          <w:color w:val="000000"/>
          <w:sz w:val="32"/>
          <w:szCs w:val="32"/>
          <w:lang w:eastAsia="zh-CN"/>
        </w:rPr>
        <w:t>至</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年底，温州市红十字会本级预算单位资产合计</w:t>
      </w:r>
      <w:r>
        <w:rPr>
          <w:rFonts w:ascii="仿宋_GB2312" w:hAnsi="Times New Roman" w:eastAsia="仿宋_GB2312" w:cs="仿宋"/>
          <w:color w:val="000000"/>
          <w:sz w:val="32"/>
          <w:szCs w:val="32"/>
        </w:rPr>
        <w:t xml:space="preserve">   197.72</w:t>
      </w:r>
      <w:r>
        <w:rPr>
          <w:rFonts w:hint="eastAsia" w:ascii="仿宋_GB2312" w:hAnsi="Times New Roman" w:eastAsia="仿宋_GB2312" w:cs="仿宋"/>
          <w:color w:val="000000"/>
          <w:sz w:val="32"/>
          <w:szCs w:val="32"/>
        </w:rPr>
        <w:t>万元，比上年下降</w:t>
      </w:r>
      <w:r>
        <w:rPr>
          <w:rFonts w:ascii="仿宋_GB2312" w:hAnsi="Times New Roman" w:eastAsia="仿宋_GB2312" w:cs="仿宋"/>
          <w:color w:val="000000"/>
          <w:sz w:val="32"/>
          <w:szCs w:val="32"/>
        </w:rPr>
        <w:t>1.27%</w:t>
      </w:r>
      <w:r>
        <w:rPr>
          <w:rFonts w:hint="eastAsia" w:ascii="仿宋_GB2312" w:hAnsi="Times New Roman" w:eastAsia="仿宋_GB2312" w:cs="仿宋"/>
          <w:color w:val="000000"/>
          <w:sz w:val="32"/>
          <w:szCs w:val="32"/>
        </w:rPr>
        <w:t>，主要原因是代收经费的支出。其中：流动资产</w:t>
      </w:r>
      <w:r>
        <w:rPr>
          <w:rFonts w:ascii="仿宋_GB2312" w:hAnsi="Times New Roman" w:eastAsia="仿宋_GB2312" w:cs="仿宋"/>
          <w:color w:val="000000"/>
          <w:sz w:val="32"/>
          <w:szCs w:val="32"/>
        </w:rPr>
        <w:t>20.37</w:t>
      </w:r>
      <w:r>
        <w:rPr>
          <w:rFonts w:hint="eastAsia" w:ascii="仿宋_GB2312" w:hAnsi="Times New Roman" w:eastAsia="仿宋_GB2312" w:cs="仿宋"/>
          <w:color w:val="000000"/>
          <w:sz w:val="32"/>
          <w:szCs w:val="32"/>
        </w:rPr>
        <w:t>万元，占总资产的</w:t>
      </w:r>
      <w:r>
        <w:rPr>
          <w:rFonts w:ascii="仿宋_GB2312" w:hAnsi="Times New Roman" w:eastAsia="仿宋_GB2312" w:cs="仿宋"/>
          <w:color w:val="000000"/>
          <w:sz w:val="32"/>
          <w:szCs w:val="32"/>
        </w:rPr>
        <w:t>10.30 %</w:t>
      </w:r>
      <w:r>
        <w:rPr>
          <w:rFonts w:hint="eastAsia" w:ascii="仿宋_GB2312" w:hAnsi="Times New Roman" w:eastAsia="仿宋_GB2312" w:cs="仿宋"/>
          <w:color w:val="000000"/>
          <w:sz w:val="32"/>
          <w:szCs w:val="32"/>
        </w:rPr>
        <w:t>；固定资产</w:t>
      </w:r>
      <w:r>
        <w:rPr>
          <w:rFonts w:ascii="仿宋_GB2312" w:hAnsi="Times New Roman" w:eastAsia="仿宋_GB2312" w:cs="仿宋"/>
          <w:color w:val="000000"/>
          <w:sz w:val="32"/>
          <w:szCs w:val="32"/>
        </w:rPr>
        <w:t>177.35</w:t>
      </w:r>
      <w:r>
        <w:rPr>
          <w:rFonts w:hint="eastAsia" w:ascii="仿宋_GB2312" w:hAnsi="Times New Roman" w:eastAsia="仿宋_GB2312" w:cs="仿宋"/>
          <w:color w:val="000000"/>
          <w:sz w:val="32"/>
          <w:szCs w:val="32"/>
        </w:rPr>
        <w:t>万元，占总资产的</w:t>
      </w:r>
      <w:r>
        <w:rPr>
          <w:rFonts w:ascii="仿宋_GB2312" w:hAnsi="Times New Roman" w:eastAsia="仿宋_GB2312" w:cs="仿宋"/>
          <w:color w:val="000000"/>
          <w:sz w:val="32"/>
          <w:szCs w:val="32"/>
        </w:rPr>
        <w:t>89.70%</w:t>
      </w:r>
      <w:r>
        <w:rPr>
          <w:rFonts w:hint="eastAsia" w:ascii="仿宋_GB2312" w:hAnsi="Times New Roman" w:eastAsia="仿宋_GB2312" w:cs="仿宋"/>
          <w:color w:val="000000"/>
          <w:sz w:val="32"/>
          <w:szCs w:val="32"/>
        </w:rPr>
        <w:t>。固定资产含：车辆</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辆，其中</w:t>
      </w:r>
      <w:r>
        <w:rPr>
          <w:rFonts w:ascii="仿宋_GB2312" w:hAnsi="Times New Roman" w:eastAsia="仿宋_GB2312" w:cs="仿宋"/>
          <w:color w:val="000000"/>
          <w:sz w:val="32"/>
          <w:szCs w:val="32"/>
        </w:rPr>
        <w:t>:</w:t>
      </w:r>
      <w:r>
        <w:rPr>
          <w:rFonts w:hint="eastAsia" w:ascii="仿宋_GB2312" w:hAnsi="Times New Roman" w:eastAsia="仿宋_GB2312" w:cs="仿宋"/>
          <w:color w:val="000000"/>
          <w:sz w:val="32"/>
          <w:szCs w:val="32"/>
        </w:rPr>
        <w:t>一般公务用车</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辆、一般执法执勤用车</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辆、特种专业技术用车</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辆、其他用车</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辆；单位价值</w:t>
      </w:r>
      <w:r>
        <w:rPr>
          <w:rFonts w:ascii="仿宋_GB2312" w:hAnsi="Times New Roman" w:eastAsia="仿宋_GB2312" w:cs="仿宋"/>
          <w:color w:val="000000"/>
          <w:sz w:val="32"/>
          <w:szCs w:val="32"/>
        </w:rPr>
        <w:t>50</w:t>
      </w:r>
      <w:r>
        <w:rPr>
          <w:rFonts w:hint="eastAsia" w:ascii="仿宋_GB2312" w:hAnsi="Times New Roman" w:eastAsia="仿宋_GB2312" w:cs="仿宋"/>
          <w:color w:val="000000"/>
          <w:sz w:val="32"/>
          <w:szCs w:val="32"/>
        </w:rPr>
        <w:t>万元（含）以上通用设备</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套（台）</w:t>
      </w:r>
      <w:r>
        <w:rPr>
          <w:rFonts w:ascii="仿宋_GB2312" w:hAnsi="Times New Roman" w:eastAsia="仿宋_GB2312" w:cs="仿宋"/>
          <w:color w:val="000000"/>
          <w:sz w:val="32"/>
          <w:szCs w:val="32"/>
        </w:rPr>
        <w:t>;</w:t>
      </w:r>
      <w:r>
        <w:rPr>
          <w:rFonts w:hint="eastAsia" w:ascii="仿宋_GB2312" w:hAnsi="Times New Roman" w:eastAsia="仿宋_GB2312" w:cs="仿宋"/>
          <w:color w:val="000000"/>
          <w:sz w:val="32"/>
          <w:szCs w:val="32"/>
        </w:rPr>
        <w:t>单位价值</w:t>
      </w:r>
      <w:r>
        <w:rPr>
          <w:rFonts w:ascii="仿宋_GB2312" w:hAnsi="Times New Roman" w:eastAsia="仿宋_GB2312" w:cs="仿宋"/>
          <w:color w:val="000000"/>
          <w:sz w:val="32"/>
          <w:szCs w:val="32"/>
        </w:rPr>
        <w:t>100</w:t>
      </w:r>
      <w:r>
        <w:rPr>
          <w:rFonts w:hint="eastAsia" w:ascii="仿宋_GB2312" w:hAnsi="Times New Roman" w:eastAsia="仿宋_GB2312" w:cs="仿宋"/>
          <w:color w:val="000000"/>
          <w:sz w:val="32"/>
          <w:szCs w:val="32"/>
        </w:rPr>
        <w:t>万元（含）以上专用设备</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套（台）。</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4.</w:t>
      </w:r>
      <w:r>
        <w:rPr>
          <w:rFonts w:hint="eastAsia" w:ascii="仿宋_GB2312" w:hAnsi="Times New Roman" w:eastAsia="仿宋_GB2312" w:cs="仿宋"/>
          <w:color w:val="000000"/>
          <w:sz w:val="32"/>
          <w:szCs w:val="32"/>
        </w:rPr>
        <w:t>绩效评价结果情况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 xml:space="preserve"> (1)</w:t>
      </w:r>
      <w:r>
        <w:rPr>
          <w:rFonts w:hint="eastAsia" w:ascii="仿宋_GB2312" w:hAnsi="Times New Roman" w:eastAsia="仿宋_GB2312" w:cs="仿宋"/>
          <w:color w:val="000000"/>
          <w:sz w:val="32"/>
          <w:szCs w:val="32"/>
        </w:rPr>
        <w:t>部门开展的绩效自评情况。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根据预算管理要求，本部门组织对</w:t>
      </w: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年度一般公共预算项目支出开展了绩效自评，自评项目</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个，共涉及资金</w:t>
      </w:r>
      <w:r>
        <w:rPr>
          <w:rFonts w:ascii="仿宋_GB2312" w:hAnsi="Times New Roman" w:eastAsia="仿宋_GB2312" w:cs="仿宋"/>
          <w:color w:val="000000"/>
          <w:sz w:val="32"/>
          <w:szCs w:val="32"/>
        </w:rPr>
        <w:t>149.98</w:t>
      </w:r>
      <w:r>
        <w:rPr>
          <w:rFonts w:hint="eastAsia" w:ascii="仿宋_GB2312" w:hAnsi="Times New Roman" w:eastAsia="仿宋_GB2312" w:cs="仿宋"/>
          <w:color w:val="000000"/>
          <w:sz w:val="32"/>
          <w:szCs w:val="32"/>
        </w:rPr>
        <w:t>万元，占项目支出预算总额的</w:t>
      </w:r>
      <w:r>
        <w:rPr>
          <w:rFonts w:ascii="仿宋_GB2312" w:hAnsi="Times New Roman" w:eastAsia="仿宋_GB2312" w:cs="仿宋"/>
          <w:color w:val="000000"/>
          <w:sz w:val="32"/>
          <w:szCs w:val="32"/>
        </w:rPr>
        <w:t>99.99%</w:t>
      </w:r>
      <w:r>
        <w:rPr>
          <w:rFonts w:hint="eastAsia" w:ascii="仿宋_GB2312" w:hAnsi="Times New Roman" w:eastAsia="仿宋_GB2312" w:cs="仿宋"/>
          <w:color w:val="000000"/>
          <w:sz w:val="32"/>
          <w:szCs w:val="32"/>
        </w:rPr>
        <w:t>。绩效评价结果显示，自评结果为优秀</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个。</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财政部门组织开展的绩效评价情况</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2017</w:t>
      </w:r>
      <w:r>
        <w:rPr>
          <w:rFonts w:hint="eastAsia" w:ascii="仿宋_GB2312" w:hAnsi="Times New Roman" w:eastAsia="仿宋_GB2312" w:cs="仿宋"/>
          <w:color w:val="000000"/>
          <w:sz w:val="32"/>
          <w:szCs w:val="32"/>
        </w:rPr>
        <w:t>年度本部门由财政部门组织开展的绩效评价项目</w:t>
      </w:r>
      <w:r>
        <w:rPr>
          <w:rFonts w:ascii="仿宋_GB2312" w:hAnsi="Times New Roman" w:eastAsia="仿宋_GB2312" w:cs="仿宋"/>
          <w:color w:val="000000"/>
          <w:sz w:val="32"/>
          <w:szCs w:val="32"/>
        </w:rPr>
        <w:t>0</w:t>
      </w:r>
      <w:r>
        <w:rPr>
          <w:rFonts w:hint="eastAsia" w:ascii="仿宋_GB2312" w:hAnsi="Times New Roman" w:eastAsia="仿宋_GB2312" w:cs="仿宋"/>
          <w:color w:val="000000"/>
          <w:sz w:val="32"/>
          <w:szCs w:val="32"/>
        </w:rPr>
        <w:t>个</w:t>
      </w:r>
    </w:p>
    <w:p>
      <w:pPr>
        <w:autoSpaceDE w:val="0"/>
        <w:autoSpaceDN w:val="0"/>
        <w:adjustRightInd w:val="0"/>
        <w:spacing w:line="560" w:lineRule="exact"/>
        <w:ind w:firstLine="600"/>
        <w:rPr>
          <w:rFonts w:ascii="楷体_GB2312" w:hAnsi="Times New Roman" w:eastAsia="楷体_GB2312" w:cs="仿宋"/>
          <w:kern w:val="0"/>
          <w:sz w:val="32"/>
          <w:szCs w:val="32"/>
        </w:rPr>
      </w:pPr>
      <w:r>
        <w:rPr>
          <w:rFonts w:hint="eastAsia" w:ascii="楷体_GB2312" w:hAnsi="Times New Roman" w:eastAsia="楷体_GB2312" w:cs="仿宋"/>
          <w:kern w:val="0"/>
          <w:sz w:val="32"/>
          <w:szCs w:val="32"/>
        </w:rPr>
        <w:t>（十）其他需要公开的事项</w:t>
      </w:r>
    </w:p>
    <w:p>
      <w:pPr>
        <w:autoSpaceDE w:val="0"/>
        <w:autoSpaceDN w:val="0"/>
        <w:adjustRightInd w:val="0"/>
        <w:spacing w:line="560" w:lineRule="exact"/>
        <w:ind w:firstLine="627"/>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没有其他需要公开的事项。</w:t>
      </w:r>
    </w:p>
    <w:p>
      <w:pPr>
        <w:spacing w:line="48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财政拨款收入：从同级财政部门取得的财政预算资金，包括公共预算财政拨款和政府性基金预算财政拨款。</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年初结转和结余：预算单位以前年度尚未完成、结转到本年仍按原规定用途继续使用的资金，或项目已完成等产生的结余资金。</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3.</w:t>
      </w:r>
      <w:r>
        <w:rPr>
          <w:rFonts w:hint="eastAsia" w:ascii="仿宋_GB2312" w:hAnsi="Times New Roman" w:eastAsia="仿宋_GB2312" w:cs="仿宋"/>
          <w:color w:val="000000"/>
          <w:sz w:val="32"/>
          <w:szCs w:val="32"/>
        </w:rPr>
        <w:t>年末结转和结余：预算单位本年底前的收入预算未执行完毕，需结转下年度按照原用途继续使用的资金，或项目已完成等产生的结余资金。</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4.</w:t>
      </w:r>
      <w:r>
        <w:rPr>
          <w:rFonts w:hint="eastAsia" w:ascii="仿宋_GB2312" w:hAnsi="Times New Roman" w:eastAsia="仿宋_GB2312" w:cs="仿宋"/>
          <w:color w:val="000000"/>
          <w:sz w:val="32"/>
          <w:szCs w:val="32"/>
        </w:rPr>
        <w:t>基本支出：是预算单位为保障其正常运转，完成日常工作任务所发生的支出，包括人员支出和日常公用支出。</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5.</w:t>
      </w:r>
      <w:r>
        <w:rPr>
          <w:rFonts w:hint="eastAsia" w:ascii="仿宋_GB2312" w:hAnsi="Times New Roman" w:eastAsia="仿宋_GB2312" w:cs="仿宋"/>
          <w:color w:val="000000"/>
          <w:sz w:val="32"/>
          <w:szCs w:val="32"/>
        </w:rPr>
        <w:t>项目支出：是预算单位为完成其特定的行政工作任务或事业发展目标所发生的支出。</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6.</w:t>
      </w:r>
      <w:r>
        <w:rPr>
          <w:rFonts w:hint="eastAsia" w:ascii="仿宋_GB2312" w:hAnsi="Times New Roman" w:eastAsia="仿宋_GB2312" w:cs="仿宋"/>
          <w:color w:val="000000"/>
          <w:sz w:val="32"/>
          <w:szCs w:val="32"/>
        </w:rPr>
        <w:t>因公出国（境）费用：反映单位公务出国（境）的国际旅费、国外城市间交通费、住宿费、伙食费、培训费、公杂费等支出。</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7.</w:t>
      </w:r>
      <w:r>
        <w:rPr>
          <w:rFonts w:hint="eastAsia" w:ascii="仿宋_GB2312" w:hAnsi="Times New Roman" w:eastAsia="仿宋_GB2312" w:cs="仿宋"/>
          <w:color w:val="000000"/>
          <w:sz w:val="32"/>
          <w:szCs w:val="32"/>
        </w:rPr>
        <w:t>公务接待费：反映单位按规定开支的各类公务接待（含外宾接待）费用。</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8.</w:t>
      </w:r>
      <w:r>
        <w:rPr>
          <w:rFonts w:hint="eastAsia" w:ascii="仿宋_GB2312" w:hAnsi="Times New Roman" w:eastAsia="仿宋_GB2312" w:cs="仿宋"/>
          <w:color w:val="000000"/>
          <w:sz w:val="32"/>
          <w:szCs w:val="32"/>
        </w:rPr>
        <w:t>公务用车购置：反映公务用车车辆购置支出（含车辆购置税）。</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9.</w:t>
      </w:r>
      <w:r>
        <w:rPr>
          <w:rFonts w:hint="eastAsia" w:ascii="仿宋_GB2312" w:hAnsi="Times New Roman" w:eastAsia="仿宋_GB2312" w:cs="仿宋"/>
          <w:color w:val="000000"/>
          <w:sz w:val="32"/>
          <w:szCs w:val="32"/>
        </w:rPr>
        <w:t>公务用车运行维护费：反映按规定保留的公务用车燃料费、维修费、过桥过路费、保险费、安全奖励费用等支出。</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10.</w:t>
      </w:r>
      <w:r>
        <w:rPr>
          <w:rFonts w:hint="eastAsia" w:ascii="仿宋_GB2312" w:hAnsi="Times New Roman" w:eastAsia="仿宋_GB2312" w:cs="仿宋"/>
          <w:color w:val="000000"/>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11.</w:t>
      </w:r>
      <w:r>
        <w:rPr>
          <w:rFonts w:hint="eastAsia" w:ascii="仿宋_GB2312" w:hAnsi="Times New Roman" w:eastAsia="仿宋_GB2312" w:cs="仿宋"/>
          <w:color w:val="000000"/>
          <w:sz w:val="32"/>
          <w:szCs w:val="32"/>
        </w:rPr>
        <w:t>流动资产：是指一年以内变现或耗用的资产，包括库存现金、银行存款、零余额用款额度、财政应返还额度、应收及预付款项、存货等。</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12.</w:t>
      </w:r>
      <w:r>
        <w:rPr>
          <w:rFonts w:hint="eastAsia" w:ascii="仿宋_GB2312" w:hAnsi="Times New Roman" w:eastAsia="仿宋_GB2312" w:cs="仿宋"/>
          <w:color w:val="000000"/>
          <w:sz w:val="32"/>
          <w:szCs w:val="32"/>
        </w:rPr>
        <w:t>固定资产：是指使用期限超过</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年（不含</w:t>
      </w:r>
      <w:r>
        <w:rPr>
          <w:rFonts w:ascii="仿宋_GB2312" w:hAnsi="Times New Roman" w:eastAsia="仿宋_GB2312" w:cs="仿宋"/>
          <w:color w:val="000000"/>
          <w:sz w:val="32"/>
          <w:szCs w:val="32"/>
        </w:rPr>
        <w:t>1</w:t>
      </w:r>
      <w:r>
        <w:rPr>
          <w:rFonts w:hint="eastAsia" w:ascii="仿宋_GB2312" w:hAnsi="Times New Roman" w:eastAsia="仿宋_GB2312" w:cs="仿宋"/>
          <w:color w:val="000000"/>
          <w:sz w:val="32"/>
          <w:szCs w:val="32"/>
        </w:rPr>
        <w:t>年），单位价值在规定标准以上，并且在使用过程中基本保持原有物质形态的资产。</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13.</w:t>
      </w:r>
      <w:r>
        <w:rPr>
          <w:rFonts w:hint="eastAsia" w:ascii="仿宋_GB2312" w:hAnsi="Times New Roman" w:eastAsia="仿宋_GB2312" w:cs="仿宋"/>
          <w:color w:val="000000"/>
          <w:sz w:val="32"/>
          <w:szCs w:val="32"/>
        </w:rPr>
        <w:t>社会保障和就业支出（类）红十字事业（款）行政运行（项）指单位的基本支出。</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14.</w:t>
      </w:r>
      <w:r>
        <w:rPr>
          <w:rFonts w:hint="eastAsia" w:ascii="仿宋_GB2312" w:hAnsi="Times New Roman" w:eastAsia="仿宋_GB2312" w:cs="仿宋"/>
          <w:color w:val="000000"/>
          <w:sz w:val="32"/>
          <w:szCs w:val="32"/>
        </w:rPr>
        <w:t>社会保障和就业支出（类）红十字事业（款）一般行政管理事务（项）指单位的其他项目支出。</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15.</w:t>
      </w:r>
      <w:r>
        <w:rPr>
          <w:rFonts w:hint="eastAsia" w:ascii="仿宋_GB2312" w:hAnsi="Times New Roman" w:eastAsia="仿宋_GB2312" w:cs="仿宋"/>
          <w:color w:val="000000"/>
          <w:sz w:val="32"/>
          <w:szCs w:val="32"/>
        </w:rPr>
        <w:t>社会保障和就业支出（类）红十字事业（款）其他红十字事业支出（项）指除以上项目外其他用于红十字事业方面的支出。</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16.</w:t>
      </w:r>
      <w:r>
        <w:rPr>
          <w:rFonts w:hint="eastAsia" w:ascii="仿宋_GB2312" w:hAnsi="Times New Roman" w:eastAsia="仿宋_GB2312" w:cs="仿宋"/>
          <w:color w:val="000000"/>
          <w:sz w:val="32"/>
          <w:szCs w:val="32"/>
        </w:rPr>
        <w:t>医疗卫生与计划生育（类）医疗保障（款）行政单位医疗（项）指财政部门集中安排的单位基本医疗保险缴费经费。</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17.</w:t>
      </w:r>
      <w:r>
        <w:rPr>
          <w:rFonts w:hint="eastAsia" w:ascii="仿宋_GB2312" w:hAnsi="Times New Roman" w:eastAsia="仿宋_GB2312" w:cs="仿宋"/>
          <w:color w:val="000000"/>
          <w:sz w:val="32"/>
          <w:szCs w:val="32"/>
        </w:rPr>
        <w:t>住房保障支出（类）住房改革支出（款）住房公积金（项）指本单位按人力资源和社会保障部、财政部规定的基本工资和津贴补贴以及规定比例为职工缴纳的住房公积金。</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18.</w:t>
      </w:r>
      <w:r>
        <w:rPr>
          <w:rFonts w:hint="eastAsia" w:ascii="仿宋_GB2312" w:hAnsi="Times New Roman" w:eastAsia="仿宋_GB2312" w:cs="仿宋"/>
          <w:color w:val="000000"/>
          <w:sz w:val="32"/>
          <w:szCs w:val="32"/>
        </w:rPr>
        <w:t>住房保障支出（类）住房改革支出（款）住房补贴（项）指本单位向符合条件职工发放的用于购买住房的补贴。</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19.</w:t>
      </w:r>
      <w:r>
        <w:rPr>
          <w:rFonts w:hint="eastAsia" w:ascii="仿宋_GB2312" w:hAnsi="Times New Roman" w:eastAsia="仿宋_GB2312" w:cs="仿宋"/>
          <w:color w:val="000000"/>
          <w:sz w:val="32"/>
          <w:szCs w:val="32"/>
        </w:rPr>
        <w:t>社会保障和就业支出（类）行政事业单位离退休（款）机关事业单位基本养老保险缴费支出（项）是指财政部门集中安排的单位基本养老保险缴费经费。</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 xml:space="preserve">20. </w:t>
      </w:r>
      <w:r>
        <w:rPr>
          <w:rFonts w:hint="eastAsia" w:ascii="仿宋_GB2312" w:hAnsi="Times New Roman" w:eastAsia="仿宋_GB2312" w:cs="仿宋"/>
          <w:color w:val="000000"/>
          <w:sz w:val="32"/>
          <w:szCs w:val="32"/>
        </w:rPr>
        <w:t>社会保障和就业支出（类）行政事业单位离退休（款）机关事业单位职业年金缴费支出（项）是指财政部门集中安排的单位职业年金缴费经费。</w:t>
      </w:r>
    </w:p>
    <w:p>
      <w:pPr>
        <w:autoSpaceDE w:val="0"/>
        <w:autoSpaceDN w:val="0"/>
        <w:adjustRightInd w:val="0"/>
        <w:spacing w:line="480" w:lineRule="exact"/>
        <w:ind w:firstLine="627"/>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 xml:space="preserve">21. </w:t>
      </w:r>
      <w:r>
        <w:rPr>
          <w:rFonts w:hint="eastAsia" w:ascii="仿宋_GB2312" w:hAnsi="Times New Roman" w:eastAsia="仿宋_GB2312" w:cs="仿宋"/>
          <w:color w:val="000000"/>
          <w:sz w:val="32"/>
          <w:szCs w:val="32"/>
        </w:rPr>
        <w:t>其他支出（类）其他政府性基金及对应专项债务收入安排的支出（款）其他政府性基金及对应专项债务收入安排的支出（项）是指财政下拨追加经费用于单位人员基本支出。</w:t>
      </w:r>
    </w:p>
    <w:sectPr>
      <w:footerReference r:id="rId3" w:type="default"/>
      <w:pgSz w:w="12240" w:h="15840"/>
      <w:pgMar w:top="1588" w:right="1474" w:bottom="1418" w:left="147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4"/>
        <w:szCs w:val="24"/>
      </w:rPr>
    </w:pPr>
    <w:r>
      <w:rPr>
        <w:rFonts w:ascii="仿宋_GB2312" w:eastAsia="仿宋_GB2312"/>
        <w:sz w:val="24"/>
        <w:szCs w:val="24"/>
      </w:rPr>
      <w:t>—</w:t>
    </w:r>
    <w:r>
      <w:rPr>
        <w:rFonts w:ascii="仿宋_GB2312" w:eastAsia="仿宋_GB2312"/>
        <w:sz w:val="24"/>
        <w:szCs w:val="24"/>
      </w:rPr>
      <w:fldChar w:fldCharType="begin"/>
    </w:r>
    <w:r>
      <w:rPr>
        <w:rFonts w:ascii="仿宋_GB2312" w:eastAsia="仿宋_GB2312"/>
        <w:sz w:val="24"/>
        <w:szCs w:val="24"/>
      </w:rPr>
      <w:instrText xml:space="preserve"> PAGE   \* MERGEFORMAT </w:instrText>
    </w:r>
    <w:r>
      <w:rPr>
        <w:rFonts w:ascii="仿宋_GB2312" w:eastAsia="仿宋_GB2312"/>
        <w:sz w:val="24"/>
        <w:szCs w:val="24"/>
      </w:rPr>
      <w:fldChar w:fldCharType="separate"/>
    </w:r>
    <w:r>
      <w:rPr>
        <w:rFonts w:ascii="仿宋_GB2312" w:eastAsia="仿宋_GB2312"/>
        <w:sz w:val="24"/>
        <w:szCs w:val="24"/>
        <w:lang w:val="zh-CN"/>
      </w:rPr>
      <w:t>13</w:t>
    </w:r>
    <w:r>
      <w:rPr>
        <w:rFonts w:ascii="仿宋_GB2312" w:eastAsia="仿宋_GB2312"/>
        <w:sz w:val="24"/>
        <w:szCs w:val="24"/>
      </w:rPr>
      <w:fldChar w:fldCharType="end"/>
    </w:r>
    <w:r>
      <w:rPr>
        <w:rFonts w:ascii="仿宋_GB2312" w:eastAsia="仿宋_GB2312"/>
        <w:sz w:val="24"/>
        <w:szCs w:val="24"/>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wNDIxMDQ4YjliZjBkMmE1ZGY4NTQ1Y2FmYTU1OTkifQ=="/>
  </w:docVars>
  <w:rsids>
    <w:rsidRoot w:val="00881F0B"/>
    <w:rsid w:val="00013F66"/>
    <w:rsid w:val="0003157A"/>
    <w:rsid w:val="000458B6"/>
    <w:rsid w:val="00046671"/>
    <w:rsid w:val="00053EFE"/>
    <w:rsid w:val="00062042"/>
    <w:rsid w:val="00064128"/>
    <w:rsid w:val="000651D8"/>
    <w:rsid w:val="000679D1"/>
    <w:rsid w:val="0007101E"/>
    <w:rsid w:val="00072BCA"/>
    <w:rsid w:val="00074B03"/>
    <w:rsid w:val="00083E47"/>
    <w:rsid w:val="000B621E"/>
    <w:rsid w:val="000C230C"/>
    <w:rsid w:val="000D45F7"/>
    <w:rsid w:val="000D5644"/>
    <w:rsid w:val="000E188B"/>
    <w:rsid w:val="000E18A3"/>
    <w:rsid w:val="000E3944"/>
    <w:rsid w:val="000E5A32"/>
    <w:rsid w:val="000F41EF"/>
    <w:rsid w:val="000F50A5"/>
    <w:rsid w:val="000F6A4F"/>
    <w:rsid w:val="001016A7"/>
    <w:rsid w:val="00114391"/>
    <w:rsid w:val="00120C66"/>
    <w:rsid w:val="00120CDC"/>
    <w:rsid w:val="00142072"/>
    <w:rsid w:val="00167275"/>
    <w:rsid w:val="00176822"/>
    <w:rsid w:val="0018273E"/>
    <w:rsid w:val="00182E3B"/>
    <w:rsid w:val="00183763"/>
    <w:rsid w:val="00184183"/>
    <w:rsid w:val="001902D7"/>
    <w:rsid w:val="00190775"/>
    <w:rsid w:val="00191FA6"/>
    <w:rsid w:val="001920D4"/>
    <w:rsid w:val="00192FAE"/>
    <w:rsid w:val="001A2286"/>
    <w:rsid w:val="001A39F6"/>
    <w:rsid w:val="001A45E9"/>
    <w:rsid w:val="001D5629"/>
    <w:rsid w:val="001E1E62"/>
    <w:rsid w:val="001E74C5"/>
    <w:rsid w:val="001F527C"/>
    <w:rsid w:val="00205066"/>
    <w:rsid w:val="00206218"/>
    <w:rsid w:val="0020751E"/>
    <w:rsid w:val="00207B27"/>
    <w:rsid w:val="00214241"/>
    <w:rsid w:val="00221B85"/>
    <w:rsid w:val="00233E0C"/>
    <w:rsid w:val="00244DAA"/>
    <w:rsid w:val="00250207"/>
    <w:rsid w:val="00257A58"/>
    <w:rsid w:val="00265156"/>
    <w:rsid w:val="00270F3A"/>
    <w:rsid w:val="002738A3"/>
    <w:rsid w:val="002746F1"/>
    <w:rsid w:val="00276750"/>
    <w:rsid w:val="00282B23"/>
    <w:rsid w:val="00294E07"/>
    <w:rsid w:val="00295463"/>
    <w:rsid w:val="002A0CDA"/>
    <w:rsid w:val="002A7BA1"/>
    <w:rsid w:val="002B582B"/>
    <w:rsid w:val="002C2C78"/>
    <w:rsid w:val="002D6A30"/>
    <w:rsid w:val="002D6DFA"/>
    <w:rsid w:val="002E00D5"/>
    <w:rsid w:val="002E030E"/>
    <w:rsid w:val="002E6EB2"/>
    <w:rsid w:val="002F42CA"/>
    <w:rsid w:val="002F50C7"/>
    <w:rsid w:val="003017C6"/>
    <w:rsid w:val="00311EAC"/>
    <w:rsid w:val="00312FFF"/>
    <w:rsid w:val="00320DE3"/>
    <w:rsid w:val="00322582"/>
    <w:rsid w:val="003265FA"/>
    <w:rsid w:val="00327825"/>
    <w:rsid w:val="00330A19"/>
    <w:rsid w:val="00332D3E"/>
    <w:rsid w:val="00342CD2"/>
    <w:rsid w:val="00344F37"/>
    <w:rsid w:val="00346899"/>
    <w:rsid w:val="0034725A"/>
    <w:rsid w:val="00350F91"/>
    <w:rsid w:val="003524B2"/>
    <w:rsid w:val="00361F65"/>
    <w:rsid w:val="00371925"/>
    <w:rsid w:val="00373442"/>
    <w:rsid w:val="003775A0"/>
    <w:rsid w:val="0038512D"/>
    <w:rsid w:val="00386388"/>
    <w:rsid w:val="0038715C"/>
    <w:rsid w:val="00393958"/>
    <w:rsid w:val="003A1146"/>
    <w:rsid w:val="003A4B20"/>
    <w:rsid w:val="003A6FA2"/>
    <w:rsid w:val="003B0DD8"/>
    <w:rsid w:val="003B1368"/>
    <w:rsid w:val="003C4F54"/>
    <w:rsid w:val="003C5B16"/>
    <w:rsid w:val="003D0527"/>
    <w:rsid w:val="003D31D7"/>
    <w:rsid w:val="003D5271"/>
    <w:rsid w:val="003D746E"/>
    <w:rsid w:val="003E0B4A"/>
    <w:rsid w:val="003E6F76"/>
    <w:rsid w:val="003F53B9"/>
    <w:rsid w:val="0040253E"/>
    <w:rsid w:val="004040A3"/>
    <w:rsid w:val="004044EE"/>
    <w:rsid w:val="00412D84"/>
    <w:rsid w:val="00414BF0"/>
    <w:rsid w:val="00417507"/>
    <w:rsid w:val="00420D41"/>
    <w:rsid w:val="00421AF8"/>
    <w:rsid w:val="00450FEA"/>
    <w:rsid w:val="004517B6"/>
    <w:rsid w:val="00453207"/>
    <w:rsid w:val="004614FB"/>
    <w:rsid w:val="00482F4B"/>
    <w:rsid w:val="00483407"/>
    <w:rsid w:val="00492845"/>
    <w:rsid w:val="00493E30"/>
    <w:rsid w:val="004A3BF6"/>
    <w:rsid w:val="004A7B52"/>
    <w:rsid w:val="004B22D6"/>
    <w:rsid w:val="004B64E3"/>
    <w:rsid w:val="004C2246"/>
    <w:rsid w:val="004C62D1"/>
    <w:rsid w:val="004D09A8"/>
    <w:rsid w:val="004D167D"/>
    <w:rsid w:val="004D6DDE"/>
    <w:rsid w:val="004E0E8D"/>
    <w:rsid w:val="004F0C68"/>
    <w:rsid w:val="004F1790"/>
    <w:rsid w:val="004F2CCF"/>
    <w:rsid w:val="004F54CB"/>
    <w:rsid w:val="004F7801"/>
    <w:rsid w:val="005068B1"/>
    <w:rsid w:val="00514AEC"/>
    <w:rsid w:val="00515175"/>
    <w:rsid w:val="00515271"/>
    <w:rsid w:val="00516246"/>
    <w:rsid w:val="005174AB"/>
    <w:rsid w:val="00522A7A"/>
    <w:rsid w:val="00523C33"/>
    <w:rsid w:val="00526AB8"/>
    <w:rsid w:val="00527268"/>
    <w:rsid w:val="005328DD"/>
    <w:rsid w:val="005625FC"/>
    <w:rsid w:val="00574CD3"/>
    <w:rsid w:val="00582F7A"/>
    <w:rsid w:val="00586939"/>
    <w:rsid w:val="00590A87"/>
    <w:rsid w:val="00595EAD"/>
    <w:rsid w:val="005A1EB3"/>
    <w:rsid w:val="005A5402"/>
    <w:rsid w:val="005A58DD"/>
    <w:rsid w:val="005B180D"/>
    <w:rsid w:val="005B1CD6"/>
    <w:rsid w:val="005B602D"/>
    <w:rsid w:val="005C2F43"/>
    <w:rsid w:val="005C4EF1"/>
    <w:rsid w:val="005D5F35"/>
    <w:rsid w:val="005E3140"/>
    <w:rsid w:val="005E67B3"/>
    <w:rsid w:val="00601ED9"/>
    <w:rsid w:val="006048A5"/>
    <w:rsid w:val="00604C57"/>
    <w:rsid w:val="0061194C"/>
    <w:rsid w:val="0061672A"/>
    <w:rsid w:val="0061683F"/>
    <w:rsid w:val="00617357"/>
    <w:rsid w:val="00617DED"/>
    <w:rsid w:val="006204B9"/>
    <w:rsid w:val="006267B8"/>
    <w:rsid w:val="006317D5"/>
    <w:rsid w:val="00632156"/>
    <w:rsid w:val="006335E5"/>
    <w:rsid w:val="00633DDE"/>
    <w:rsid w:val="006405C2"/>
    <w:rsid w:val="00660877"/>
    <w:rsid w:val="00676D3A"/>
    <w:rsid w:val="00681CFF"/>
    <w:rsid w:val="006834B4"/>
    <w:rsid w:val="006847B4"/>
    <w:rsid w:val="00685EAF"/>
    <w:rsid w:val="00692F57"/>
    <w:rsid w:val="00694190"/>
    <w:rsid w:val="0069448C"/>
    <w:rsid w:val="0069528E"/>
    <w:rsid w:val="006970D0"/>
    <w:rsid w:val="006A3742"/>
    <w:rsid w:val="006C34A6"/>
    <w:rsid w:val="006C4926"/>
    <w:rsid w:val="006C527F"/>
    <w:rsid w:val="006D163B"/>
    <w:rsid w:val="006D22DB"/>
    <w:rsid w:val="006D6A2F"/>
    <w:rsid w:val="006E1C10"/>
    <w:rsid w:val="006E2DCB"/>
    <w:rsid w:val="006F4F3E"/>
    <w:rsid w:val="007013D3"/>
    <w:rsid w:val="007033AA"/>
    <w:rsid w:val="007079F8"/>
    <w:rsid w:val="00715A2F"/>
    <w:rsid w:val="00717C1C"/>
    <w:rsid w:val="007200FE"/>
    <w:rsid w:val="007265AE"/>
    <w:rsid w:val="0073424B"/>
    <w:rsid w:val="00734B80"/>
    <w:rsid w:val="00735BA0"/>
    <w:rsid w:val="00741108"/>
    <w:rsid w:val="00741B55"/>
    <w:rsid w:val="00746CBE"/>
    <w:rsid w:val="00760AFE"/>
    <w:rsid w:val="00761B9C"/>
    <w:rsid w:val="00763C80"/>
    <w:rsid w:val="00765C83"/>
    <w:rsid w:val="00766A91"/>
    <w:rsid w:val="00771890"/>
    <w:rsid w:val="00780470"/>
    <w:rsid w:val="0078327B"/>
    <w:rsid w:val="00794419"/>
    <w:rsid w:val="00794BF7"/>
    <w:rsid w:val="00795BC2"/>
    <w:rsid w:val="007B0FA4"/>
    <w:rsid w:val="007B33DE"/>
    <w:rsid w:val="007B33E9"/>
    <w:rsid w:val="007B3679"/>
    <w:rsid w:val="007C44E9"/>
    <w:rsid w:val="007D348B"/>
    <w:rsid w:val="007E0BCC"/>
    <w:rsid w:val="007E6CDF"/>
    <w:rsid w:val="007F6517"/>
    <w:rsid w:val="007F6721"/>
    <w:rsid w:val="00804D6E"/>
    <w:rsid w:val="00806314"/>
    <w:rsid w:val="00811EFF"/>
    <w:rsid w:val="00813B12"/>
    <w:rsid w:val="00814670"/>
    <w:rsid w:val="008147CD"/>
    <w:rsid w:val="008223CC"/>
    <w:rsid w:val="00822CEF"/>
    <w:rsid w:val="0082592B"/>
    <w:rsid w:val="008346BD"/>
    <w:rsid w:val="00837B7B"/>
    <w:rsid w:val="00850112"/>
    <w:rsid w:val="00854686"/>
    <w:rsid w:val="00873B9D"/>
    <w:rsid w:val="00875C0A"/>
    <w:rsid w:val="00881F0B"/>
    <w:rsid w:val="00886526"/>
    <w:rsid w:val="00887089"/>
    <w:rsid w:val="00890CC1"/>
    <w:rsid w:val="00893873"/>
    <w:rsid w:val="00893EDB"/>
    <w:rsid w:val="008A136C"/>
    <w:rsid w:val="008B1A4C"/>
    <w:rsid w:val="008C2CF4"/>
    <w:rsid w:val="008D48F1"/>
    <w:rsid w:val="008D4DF8"/>
    <w:rsid w:val="008E0ACF"/>
    <w:rsid w:val="008E54B4"/>
    <w:rsid w:val="008F1E0E"/>
    <w:rsid w:val="008F3B3E"/>
    <w:rsid w:val="0090349E"/>
    <w:rsid w:val="00904114"/>
    <w:rsid w:val="009125B1"/>
    <w:rsid w:val="009139A8"/>
    <w:rsid w:val="00913D52"/>
    <w:rsid w:val="00916E08"/>
    <w:rsid w:val="00923634"/>
    <w:rsid w:val="00924401"/>
    <w:rsid w:val="009320DC"/>
    <w:rsid w:val="0093346A"/>
    <w:rsid w:val="00945869"/>
    <w:rsid w:val="00951A76"/>
    <w:rsid w:val="0097248D"/>
    <w:rsid w:val="0097416C"/>
    <w:rsid w:val="0097455C"/>
    <w:rsid w:val="0097677D"/>
    <w:rsid w:val="009809AE"/>
    <w:rsid w:val="00982B21"/>
    <w:rsid w:val="009845D7"/>
    <w:rsid w:val="00985145"/>
    <w:rsid w:val="00990DDE"/>
    <w:rsid w:val="00997B30"/>
    <w:rsid w:val="009A37C6"/>
    <w:rsid w:val="009A5DD9"/>
    <w:rsid w:val="009B570B"/>
    <w:rsid w:val="009B781D"/>
    <w:rsid w:val="009C579A"/>
    <w:rsid w:val="009C629A"/>
    <w:rsid w:val="009C741B"/>
    <w:rsid w:val="009D180F"/>
    <w:rsid w:val="009E349C"/>
    <w:rsid w:val="009E3586"/>
    <w:rsid w:val="009E735B"/>
    <w:rsid w:val="009F33E5"/>
    <w:rsid w:val="00A02365"/>
    <w:rsid w:val="00A0740C"/>
    <w:rsid w:val="00A22921"/>
    <w:rsid w:val="00A309C1"/>
    <w:rsid w:val="00A34BA9"/>
    <w:rsid w:val="00A43612"/>
    <w:rsid w:val="00A517C2"/>
    <w:rsid w:val="00A5539F"/>
    <w:rsid w:val="00A567AF"/>
    <w:rsid w:val="00A71EB2"/>
    <w:rsid w:val="00A828DF"/>
    <w:rsid w:val="00A82A50"/>
    <w:rsid w:val="00A8596D"/>
    <w:rsid w:val="00AA03BD"/>
    <w:rsid w:val="00AB65E6"/>
    <w:rsid w:val="00AC012E"/>
    <w:rsid w:val="00AC03C2"/>
    <w:rsid w:val="00AD2AF1"/>
    <w:rsid w:val="00AE3977"/>
    <w:rsid w:val="00AE4354"/>
    <w:rsid w:val="00AF106F"/>
    <w:rsid w:val="00AF2F79"/>
    <w:rsid w:val="00AF3B7B"/>
    <w:rsid w:val="00AF77F1"/>
    <w:rsid w:val="00B32183"/>
    <w:rsid w:val="00B412DB"/>
    <w:rsid w:val="00B44978"/>
    <w:rsid w:val="00B52653"/>
    <w:rsid w:val="00B52F86"/>
    <w:rsid w:val="00B5615B"/>
    <w:rsid w:val="00B5679A"/>
    <w:rsid w:val="00B6318D"/>
    <w:rsid w:val="00B74BAB"/>
    <w:rsid w:val="00B867F5"/>
    <w:rsid w:val="00B93A85"/>
    <w:rsid w:val="00BA41B5"/>
    <w:rsid w:val="00BA5A4C"/>
    <w:rsid w:val="00BA5CEC"/>
    <w:rsid w:val="00BB1A58"/>
    <w:rsid w:val="00BB4E1E"/>
    <w:rsid w:val="00BC6167"/>
    <w:rsid w:val="00BD45E8"/>
    <w:rsid w:val="00BD67AF"/>
    <w:rsid w:val="00BD722D"/>
    <w:rsid w:val="00BE55B4"/>
    <w:rsid w:val="00BF6CE9"/>
    <w:rsid w:val="00BF6D0A"/>
    <w:rsid w:val="00BF7509"/>
    <w:rsid w:val="00BF7B7E"/>
    <w:rsid w:val="00C03C0A"/>
    <w:rsid w:val="00C2277B"/>
    <w:rsid w:val="00C248D5"/>
    <w:rsid w:val="00C261C1"/>
    <w:rsid w:val="00C31791"/>
    <w:rsid w:val="00C33E6D"/>
    <w:rsid w:val="00C362CE"/>
    <w:rsid w:val="00C36601"/>
    <w:rsid w:val="00C450CC"/>
    <w:rsid w:val="00C4618D"/>
    <w:rsid w:val="00C5682A"/>
    <w:rsid w:val="00C62019"/>
    <w:rsid w:val="00C63974"/>
    <w:rsid w:val="00C63E1C"/>
    <w:rsid w:val="00C80187"/>
    <w:rsid w:val="00C81C6E"/>
    <w:rsid w:val="00C81CE7"/>
    <w:rsid w:val="00C85CCC"/>
    <w:rsid w:val="00C94A64"/>
    <w:rsid w:val="00CA1E85"/>
    <w:rsid w:val="00CA3947"/>
    <w:rsid w:val="00CA5F05"/>
    <w:rsid w:val="00CC0E04"/>
    <w:rsid w:val="00CC3DB1"/>
    <w:rsid w:val="00CD3F92"/>
    <w:rsid w:val="00CD70CB"/>
    <w:rsid w:val="00CE3D1D"/>
    <w:rsid w:val="00CE47C0"/>
    <w:rsid w:val="00CE4D3C"/>
    <w:rsid w:val="00CE7492"/>
    <w:rsid w:val="00CF1EE7"/>
    <w:rsid w:val="00CF4ECD"/>
    <w:rsid w:val="00D14CD2"/>
    <w:rsid w:val="00D264CD"/>
    <w:rsid w:val="00D2788D"/>
    <w:rsid w:val="00D363AE"/>
    <w:rsid w:val="00D366CD"/>
    <w:rsid w:val="00D41B69"/>
    <w:rsid w:val="00D459FF"/>
    <w:rsid w:val="00D4707B"/>
    <w:rsid w:val="00D53122"/>
    <w:rsid w:val="00D54178"/>
    <w:rsid w:val="00D54C56"/>
    <w:rsid w:val="00D60C24"/>
    <w:rsid w:val="00D61851"/>
    <w:rsid w:val="00D61FA7"/>
    <w:rsid w:val="00D6741A"/>
    <w:rsid w:val="00D70031"/>
    <w:rsid w:val="00D81005"/>
    <w:rsid w:val="00D82028"/>
    <w:rsid w:val="00D82442"/>
    <w:rsid w:val="00D826D8"/>
    <w:rsid w:val="00D83AEB"/>
    <w:rsid w:val="00D878BC"/>
    <w:rsid w:val="00D91495"/>
    <w:rsid w:val="00D914B2"/>
    <w:rsid w:val="00D91A88"/>
    <w:rsid w:val="00D95E1E"/>
    <w:rsid w:val="00DA64A4"/>
    <w:rsid w:val="00DA65DA"/>
    <w:rsid w:val="00DC204D"/>
    <w:rsid w:val="00DD243B"/>
    <w:rsid w:val="00DD55A4"/>
    <w:rsid w:val="00DE1E92"/>
    <w:rsid w:val="00DE3A9D"/>
    <w:rsid w:val="00DE4BF0"/>
    <w:rsid w:val="00DF03E0"/>
    <w:rsid w:val="00DF4F09"/>
    <w:rsid w:val="00DF5E59"/>
    <w:rsid w:val="00DF70C6"/>
    <w:rsid w:val="00DF723C"/>
    <w:rsid w:val="00E0018C"/>
    <w:rsid w:val="00E00925"/>
    <w:rsid w:val="00E11F7A"/>
    <w:rsid w:val="00E12152"/>
    <w:rsid w:val="00E2537B"/>
    <w:rsid w:val="00E3509E"/>
    <w:rsid w:val="00E54286"/>
    <w:rsid w:val="00E572E8"/>
    <w:rsid w:val="00E606AA"/>
    <w:rsid w:val="00E60FCA"/>
    <w:rsid w:val="00E660AE"/>
    <w:rsid w:val="00E70FC0"/>
    <w:rsid w:val="00E71FA7"/>
    <w:rsid w:val="00E72A06"/>
    <w:rsid w:val="00E7336B"/>
    <w:rsid w:val="00E90171"/>
    <w:rsid w:val="00E947D0"/>
    <w:rsid w:val="00EA41D6"/>
    <w:rsid w:val="00EA64F7"/>
    <w:rsid w:val="00EB555D"/>
    <w:rsid w:val="00EB6701"/>
    <w:rsid w:val="00EB7242"/>
    <w:rsid w:val="00ED24E5"/>
    <w:rsid w:val="00ED59B1"/>
    <w:rsid w:val="00EE2CEA"/>
    <w:rsid w:val="00EF3F12"/>
    <w:rsid w:val="00EF6DB6"/>
    <w:rsid w:val="00F03027"/>
    <w:rsid w:val="00F13AE2"/>
    <w:rsid w:val="00F20479"/>
    <w:rsid w:val="00F20E78"/>
    <w:rsid w:val="00F2662F"/>
    <w:rsid w:val="00F30F2B"/>
    <w:rsid w:val="00F33953"/>
    <w:rsid w:val="00F35642"/>
    <w:rsid w:val="00F35CB3"/>
    <w:rsid w:val="00F47F2E"/>
    <w:rsid w:val="00F54F3D"/>
    <w:rsid w:val="00F6735B"/>
    <w:rsid w:val="00F74DA5"/>
    <w:rsid w:val="00F770F2"/>
    <w:rsid w:val="00F90DCF"/>
    <w:rsid w:val="00F96E70"/>
    <w:rsid w:val="00F97ACF"/>
    <w:rsid w:val="00F97C8B"/>
    <w:rsid w:val="00FA756F"/>
    <w:rsid w:val="00FB2A8A"/>
    <w:rsid w:val="00FB37C1"/>
    <w:rsid w:val="00FB67F9"/>
    <w:rsid w:val="00FB6DE5"/>
    <w:rsid w:val="00FB7D78"/>
    <w:rsid w:val="00FC46E6"/>
    <w:rsid w:val="00FC7092"/>
    <w:rsid w:val="00FC74BF"/>
    <w:rsid w:val="00FD477C"/>
    <w:rsid w:val="00FD4D65"/>
    <w:rsid w:val="00FE1E99"/>
    <w:rsid w:val="00FE58F1"/>
    <w:rsid w:val="00FF3C3B"/>
    <w:rsid w:val="2C54519B"/>
    <w:rsid w:val="397053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er Char"/>
    <w:basedOn w:val="7"/>
    <w:link w:val="4"/>
    <w:qFormat/>
    <w:locked/>
    <w:uiPriority w:val="99"/>
    <w:rPr>
      <w:rFonts w:cs="Times New Roman"/>
      <w:sz w:val="18"/>
      <w:szCs w:val="18"/>
    </w:rPr>
  </w:style>
  <w:style w:type="character" w:customStyle="1" w:styleId="9">
    <w:name w:val="Footer Char"/>
    <w:basedOn w:val="7"/>
    <w:link w:val="3"/>
    <w:qFormat/>
    <w:locked/>
    <w:uiPriority w:val="99"/>
    <w:rPr>
      <w:rFonts w:cs="Times New Roman"/>
      <w:sz w:val="18"/>
      <w:szCs w:val="18"/>
    </w:rPr>
  </w:style>
  <w:style w:type="character" w:customStyle="1" w:styleId="10">
    <w:name w:val="Balloon Text Char"/>
    <w:basedOn w:val="7"/>
    <w:link w:val="2"/>
    <w:semiHidden/>
    <w:qFormat/>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17</Pages>
  <Words>7705</Words>
  <Characters>9838</Characters>
  <Lines>0</Lines>
  <Paragraphs>0</Paragraphs>
  <TotalTime>4787</TotalTime>
  <ScaleCrop>false</ScaleCrop>
  <LinksUpToDate>false</LinksUpToDate>
  <CharactersWithSpaces>10434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2018-09-21T08:58:00Z</cp:lastPrinted>
  <dcterms:modified xsi:type="dcterms:W3CDTF">2022-06-10T01:40:41Z</dcterms:modified>
  <cp:revision>313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C763512F1D3F44019FA3C0E26FDC59FF</vt:lpwstr>
  </property>
</Properties>
</file>