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Style w:val="12"/>
          <w:rFonts w:ascii="宋体" w:hAnsi="宋体"/>
          <w:b w:val="0"/>
          <w:sz w:val="44"/>
          <w:szCs w:val="44"/>
        </w:rPr>
      </w:pPr>
      <w:r>
        <w:rPr>
          <w:rFonts w:hint="eastAsia" w:ascii="宋体" w:hAnsi="宋体"/>
          <w:b/>
          <w:bCs/>
          <w:spacing w:val="15"/>
          <w:sz w:val="44"/>
          <w:szCs w:val="44"/>
        </w:rPr>
        <w:t>温州市红十字会2017年部门预算</w:t>
      </w:r>
    </w:p>
    <w:p>
      <w:pPr>
        <w:spacing w:line="300" w:lineRule="auto"/>
        <w:ind w:firstLine="630" w:firstLineChars="196"/>
        <w:rPr>
          <w:rStyle w:val="12"/>
          <w:color w:val="000000"/>
          <w:sz w:val="32"/>
          <w:szCs w:val="32"/>
        </w:rPr>
      </w:pPr>
    </w:p>
    <w:p>
      <w:pPr>
        <w:ind w:firstLine="627" w:firstLineChars="196"/>
        <w:rPr>
          <w:rStyle w:val="12"/>
          <w:rFonts w:ascii="黑体" w:eastAsia="黑体"/>
          <w:b w:val="0"/>
          <w:color w:val="000000"/>
          <w:sz w:val="32"/>
          <w:szCs w:val="32"/>
        </w:rPr>
      </w:pPr>
      <w:r>
        <w:rPr>
          <w:rStyle w:val="12"/>
          <w:rFonts w:hint="eastAsia" w:ascii="黑体" w:eastAsia="黑体"/>
          <w:b w:val="0"/>
          <w:color w:val="000000"/>
          <w:sz w:val="32"/>
          <w:szCs w:val="32"/>
        </w:rPr>
        <w:t>一、温州市红十字会概况</w:t>
      </w:r>
    </w:p>
    <w:p>
      <w:pPr>
        <w:ind w:firstLine="627" w:firstLineChars="196"/>
        <w:rPr>
          <w:rFonts w:ascii="楷体_GB2312" w:eastAsia="楷体_GB2312"/>
          <w:bCs/>
          <w:sz w:val="32"/>
          <w:szCs w:val="32"/>
        </w:rPr>
      </w:pPr>
      <w:r>
        <w:rPr>
          <w:rFonts w:hint="eastAsia" w:ascii="楷体_GB2312" w:eastAsia="楷体_GB2312"/>
          <w:bCs/>
          <w:sz w:val="32"/>
          <w:szCs w:val="32"/>
        </w:rPr>
        <w:t>（一）主要职能</w:t>
      </w:r>
    </w:p>
    <w:p>
      <w:pPr>
        <w:widowControl/>
        <w:ind w:firstLine="63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负责宣传、贯彻和实施《中华人民共和国红十字会法》、《中华人民共和国红十字标志使用办法》、《中国红十字会章程》。</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负责研究制订并组织实施全市红十字事业发展规划、计划，指导各县（市、区）红十字会开展工作。</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3.</w:t>
      </w:r>
      <w:r>
        <w:rPr>
          <w:rFonts w:hint="eastAsia" w:ascii="仿宋_GB2312" w:eastAsia="仿宋_GB2312"/>
          <w:sz w:val="32"/>
          <w:szCs w:val="32"/>
        </w:rPr>
        <w:t>负责红十字会备灾救灾工作，规划、建设和管理备灾救灾设施；制订自然灾害和突发公共事件应急预案，在自然灾害和突发事件中，组织开展救护和救助工作；参与灾区的恢复重建工作。</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4.</w:t>
      </w:r>
      <w:r>
        <w:rPr>
          <w:rFonts w:hint="eastAsia" w:ascii="仿宋_GB2312" w:eastAsia="仿宋_GB2312"/>
          <w:sz w:val="32"/>
          <w:szCs w:val="32"/>
        </w:rPr>
        <w:t>依法组织开展社会募捐活动，开展人道救助和服务工作。</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5.</w:t>
      </w:r>
      <w:r>
        <w:rPr>
          <w:rFonts w:hint="eastAsia" w:ascii="仿宋_GB2312" w:eastAsia="仿宋_GB2312"/>
          <w:sz w:val="32"/>
          <w:szCs w:val="32"/>
        </w:rPr>
        <w:t>负责现场救护知识和技能的宣传普及；负责培训红十字救护员；组织群众参加意外伤害和自然灾害的自救互救。</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6.</w:t>
      </w:r>
      <w:r>
        <w:rPr>
          <w:rFonts w:hint="eastAsia" w:ascii="仿宋_GB2312" w:eastAsia="仿宋_GB2312"/>
          <w:sz w:val="32"/>
          <w:szCs w:val="32"/>
        </w:rPr>
        <w:t>负责在社区开展红十字服务工作。</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7.</w:t>
      </w:r>
      <w:r>
        <w:rPr>
          <w:rFonts w:hint="eastAsia" w:ascii="仿宋_GB2312" w:eastAsia="仿宋_GB2312"/>
          <w:sz w:val="32"/>
          <w:szCs w:val="32"/>
        </w:rPr>
        <w:t>指导全市开展造血干细胞捐献工作。</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8.</w:t>
      </w:r>
      <w:r>
        <w:rPr>
          <w:rFonts w:hint="eastAsia" w:ascii="仿宋_GB2312" w:eastAsia="仿宋_GB2312"/>
          <w:sz w:val="32"/>
          <w:szCs w:val="32"/>
        </w:rPr>
        <w:t>参与无偿献血的宣传表彰工作；参与推动遗体、器官（组织）捐献工作；参与重大疾病的预防宣传和健康教育。</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9.</w:t>
      </w:r>
      <w:r>
        <w:rPr>
          <w:rFonts w:hint="eastAsia" w:ascii="仿宋_GB2312" w:eastAsia="仿宋_GB2312"/>
          <w:sz w:val="32"/>
          <w:szCs w:val="32"/>
        </w:rPr>
        <w:t>发展红十字志愿者，开展红十字青少年活动和志愿服务活动。</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负责红十字运动宗旨理念、国际人道法以及七项基本原则的宣传传播。</w:t>
      </w:r>
      <w:r>
        <w:rPr>
          <w:rFonts w:ascii="仿宋_GB2312" w:eastAsia="仿宋_GB2312"/>
          <w:sz w:val="32"/>
          <w:szCs w:val="32"/>
        </w:rPr>
        <w:t xml:space="preserve"> </w:t>
      </w:r>
    </w:p>
    <w:p>
      <w:pPr>
        <w:widowControl/>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开展与兄弟市红十字会的交流与合作。</w:t>
      </w:r>
      <w:r>
        <w:rPr>
          <w:rFonts w:ascii="仿宋_GB2312" w:eastAsia="仿宋_GB2312"/>
          <w:sz w:val="32"/>
          <w:szCs w:val="32"/>
        </w:rPr>
        <w:t xml:space="preserve"> </w:t>
      </w:r>
    </w:p>
    <w:p>
      <w:pPr>
        <w:widowControl/>
        <w:rPr>
          <w:rFonts w:ascii="仿宋_GB2312" w:eastAsia="仿宋_GB2312"/>
          <w:sz w:val="32"/>
          <w:szCs w:val="32"/>
        </w:rPr>
      </w:pPr>
      <w:r>
        <w:rPr>
          <w:rFonts w:ascii="仿宋_GB2312" w:eastAsia="仿宋_GB2312"/>
          <w:sz w:val="32"/>
          <w:szCs w:val="32"/>
        </w:rPr>
        <w:t xml:space="preserve">    1</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依照国际红十字与红新月运动基本原则，完成市人民政府和上级红十字会交办或委托的有关事宜。</w:t>
      </w:r>
    </w:p>
    <w:p>
      <w:pPr>
        <w:ind w:firstLine="627" w:firstLineChars="196"/>
        <w:rPr>
          <w:rFonts w:ascii="楷体_GB2312" w:eastAsia="楷体_GB2312"/>
          <w:bCs/>
          <w:sz w:val="32"/>
          <w:szCs w:val="32"/>
        </w:rPr>
      </w:pPr>
      <w:r>
        <w:rPr>
          <w:rFonts w:hint="eastAsia" w:ascii="楷体_GB2312" w:eastAsia="楷体_GB2312"/>
          <w:bCs/>
          <w:sz w:val="32"/>
          <w:szCs w:val="32"/>
        </w:rPr>
        <w:t>（二）部门预算单位构成</w:t>
      </w:r>
    </w:p>
    <w:p>
      <w:pPr>
        <w:ind w:firstLine="627" w:firstLineChars="196"/>
        <w:rPr>
          <w:rFonts w:ascii="仿宋_GB2312" w:eastAsia="仿宋_GB2312"/>
          <w:bCs/>
          <w:sz w:val="32"/>
          <w:szCs w:val="32"/>
        </w:rPr>
      </w:pPr>
      <w:r>
        <w:rPr>
          <w:rFonts w:hint="eastAsia" w:ascii="仿宋_GB2312" w:eastAsia="仿宋_GB2312"/>
          <w:bCs/>
          <w:sz w:val="32"/>
          <w:szCs w:val="32"/>
        </w:rPr>
        <w:t>从预算单位构成看，红十字会包括本级，无下属单位。</w:t>
      </w:r>
    </w:p>
    <w:p>
      <w:pPr>
        <w:rPr>
          <w:rFonts w:ascii="楷体_GB2312" w:hAnsi="楷体_GB2312" w:eastAsia="楷体_GB2312" w:cs="楷体_GB2312"/>
          <w:b/>
          <w:color w:val="000000"/>
          <w:sz w:val="32"/>
          <w:szCs w:val="32"/>
        </w:rPr>
      </w:pPr>
      <w:r>
        <w:rPr>
          <w:rStyle w:val="12"/>
          <w:rFonts w:hint="eastAsia" w:ascii="黑体" w:eastAsia="黑体"/>
          <w:b w:val="0"/>
          <w:color w:val="000000"/>
          <w:sz w:val="32"/>
          <w:szCs w:val="32"/>
        </w:rPr>
        <w:t xml:space="preserve">    二、红十字会2017年部门预算安排情况说明</w:t>
      </w:r>
      <w:r>
        <w:rPr>
          <w:rFonts w:hint="eastAsia"/>
          <w:color w:val="000000"/>
          <w:sz w:val="32"/>
          <w:szCs w:val="32"/>
        </w:rPr>
        <w:br w:type="textWrapping"/>
      </w:r>
      <w:r>
        <w:rPr>
          <w:rFonts w:hint="eastAsia" w:ascii="仿宋_GB2312" w:eastAsia="仿宋_GB2312"/>
          <w:color w:val="000000"/>
          <w:sz w:val="32"/>
          <w:szCs w:val="32"/>
        </w:rPr>
        <w:t>　　</w:t>
      </w:r>
      <w:r>
        <w:rPr>
          <w:rFonts w:hint="eastAsia" w:ascii="楷体_GB2312" w:hAnsi="楷体_GB2312" w:eastAsia="楷体_GB2312" w:cs="楷体_GB2312"/>
          <w:color w:val="000000"/>
          <w:sz w:val="32"/>
          <w:szCs w:val="32"/>
        </w:rPr>
        <w:t>（一）关于</w:t>
      </w:r>
      <w:r>
        <w:rPr>
          <w:rStyle w:val="12"/>
          <w:rFonts w:hint="eastAsia" w:ascii="楷体_GB2312" w:hAnsi="楷体_GB2312" w:eastAsia="楷体_GB2312" w:cs="楷体_GB2312"/>
          <w:b w:val="0"/>
          <w:color w:val="000000"/>
          <w:sz w:val="32"/>
          <w:szCs w:val="32"/>
        </w:rPr>
        <w:t>红十字会2017年收支预算情况的总体说明</w:t>
      </w:r>
    </w:p>
    <w:p>
      <w:pPr>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w:t>
      </w: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w:t>
      </w:r>
      <w:r>
        <w:rPr>
          <w:rFonts w:hint="eastAsia" w:ascii="仿宋_GB2312" w:eastAsia="仿宋_GB2312"/>
          <w:color w:val="000000"/>
          <w:sz w:val="32"/>
          <w:szCs w:val="32"/>
        </w:rPr>
        <w:t>红十字会所有收入和支出均纳入部门预算管理。收入包括：一般公共预算拨款收入；支出包括：社会保障和就业支出、医疗卫生支出、住房保障支出。我会2017年收支总预算401.59万元。</w:t>
      </w:r>
    </w:p>
    <w:p>
      <w:pPr>
        <w:ind w:firstLine="642"/>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（二）关于红十字会2017年收入预算情况说明</w:t>
      </w:r>
    </w:p>
    <w:p>
      <w:pPr>
        <w:ind w:firstLine="642"/>
        <w:rPr>
          <w:rFonts w:ascii="仿宋_GB2312" w:eastAsia="仿宋_GB2312"/>
          <w:color w:val="000000"/>
          <w:sz w:val="32"/>
          <w:szCs w:val="32"/>
        </w:rPr>
      </w:pPr>
      <w:r>
        <w:rPr>
          <w:rFonts w:hint="eastAsia" w:ascii="仿宋_GB2312" w:eastAsia="仿宋_GB2312"/>
          <w:color w:val="000000"/>
          <w:sz w:val="32"/>
          <w:szCs w:val="32"/>
        </w:rPr>
        <w:t>我会2017年收入预算401.59万元，其中：一般公共预算拨款收入401.59万元，占100%</w:t>
      </w:r>
      <w:r>
        <w:rPr>
          <w:rFonts w:hint="eastAsia" w:ascii="仿宋_GB2312" w:eastAsia="仿宋_GB2312"/>
          <w:sz w:val="32"/>
          <w:szCs w:val="32"/>
        </w:rPr>
        <w:t>；政府性基金收入0万元，占0%；专户资金0万元，占0%；单位结转万元，占0%。</w:t>
      </w:r>
      <w:r>
        <w:rPr>
          <w:rFonts w:hint="eastAsia" w:ascii="仿宋_GB2312" w:eastAsia="仿宋_GB2312"/>
          <w:color w:val="000000"/>
          <w:sz w:val="32"/>
          <w:szCs w:val="32"/>
        </w:rPr>
        <w:br w:type="textWrapping"/>
      </w:r>
      <w:r>
        <w:rPr>
          <w:rFonts w:hint="eastAsia" w:ascii="楷体_GB2312" w:hAnsi="楷体_GB2312" w:eastAsia="楷体_GB2312" w:cs="楷体_GB2312"/>
          <w:b/>
          <w:color w:val="000000"/>
          <w:sz w:val="32"/>
          <w:szCs w:val="32"/>
        </w:rPr>
        <w:t>　　</w:t>
      </w:r>
      <w:r>
        <w:rPr>
          <w:rFonts w:hint="eastAsia" w:ascii="楷体_GB2312" w:hAnsi="楷体_GB2312" w:eastAsia="楷体_GB2312" w:cs="楷体_GB2312"/>
          <w:color w:val="000000"/>
          <w:sz w:val="32"/>
          <w:szCs w:val="32"/>
        </w:rPr>
        <w:t>（三）关于红十字会2017年支出预算情况说明</w:t>
      </w:r>
      <w:r>
        <w:rPr>
          <w:rFonts w:hint="eastAsia" w:ascii="仿宋_GB2312" w:eastAsia="仿宋_GB2312"/>
          <w:color w:val="000000"/>
          <w:sz w:val="32"/>
          <w:szCs w:val="32"/>
        </w:rPr>
        <w:br w:type="textWrapping"/>
      </w:r>
      <w:r>
        <w:rPr>
          <w:rFonts w:hint="eastAsia" w:ascii="仿宋_GB2312" w:eastAsia="仿宋_GB2312"/>
          <w:color w:val="000000"/>
          <w:sz w:val="32"/>
          <w:szCs w:val="32"/>
        </w:rPr>
        <w:t>　　我会2017年支出预算401.59万元。</w:t>
      </w:r>
    </w:p>
    <w:p>
      <w:pPr>
        <w:ind w:firstLine="63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1.按支出功能分类，包括社会保障和就业支出378.74万元，医疗卫生支出9.45万元，住房保障支出13.40万元。</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2.按支出用途分类，包括人员支出117.54万元，社会保障补助支出56.12万元，公用支出49.37万元，项目支出178.56万元。</w:t>
      </w:r>
    </w:p>
    <w:p>
      <w:pPr>
        <w:ind w:firstLine="627" w:firstLineChars="196"/>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（四）关于红十字会2017年财政拨款收支预算情况的总体说明</w:t>
      </w:r>
    </w:p>
    <w:p>
      <w:pPr>
        <w:ind w:firstLine="640"/>
        <w:rPr>
          <w:rFonts w:ascii="仿宋_GB2312" w:eastAsia="仿宋_GB2312"/>
          <w:color w:val="000000"/>
          <w:sz w:val="32"/>
          <w:szCs w:val="32"/>
        </w:rPr>
      </w:pPr>
      <w:r>
        <w:rPr>
          <w:rFonts w:hint="eastAsia" w:ascii="仿宋_GB2312" w:eastAsia="仿宋_GB2312"/>
          <w:color w:val="000000"/>
          <w:sz w:val="32"/>
          <w:szCs w:val="32"/>
        </w:rPr>
        <w:t>我会2017年财政拨款收支总预算401.59万元。包括：一般公共预算拨款收入401.59万元、政府性基金收入0万元；支出包括：社会保障和就业支出378.74万元、医疗卫生支出9.45万元、住房保障支出13.40万元。</w:t>
      </w:r>
    </w:p>
    <w:p>
      <w:pPr>
        <w:numPr>
          <w:ilvl w:val="0"/>
          <w:numId w:val="1"/>
        </w:numPr>
        <w:ind w:firstLine="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关于红十字会2017年一般公共预算当年拨款情况说明</w:t>
      </w:r>
    </w:p>
    <w:p>
      <w:pPr>
        <w:ind w:firstLine="642"/>
        <w:rPr>
          <w:rFonts w:ascii="仿宋_GB2312" w:hAnsi="楷体_GB2312" w:eastAsia="仿宋_GB2312" w:cs="楷体_GB2312"/>
          <w:b/>
          <w:color w:val="000000"/>
          <w:sz w:val="32"/>
          <w:szCs w:val="32"/>
        </w:rPr>
      </w:pPr>
      <w:r>
        <w:rPr>
          <w:rFonts w:hint="eastAsia" w:ascii="仿宋_GB2312" w:hAnsi="楷体_GB2312" w:eastAsia="仿宋_GB2312" w:cs="楷体_GB2312"/>
          <w:b/>
          <w:color w:val="000000"/>
          <w:sz w:val="32"/>
          <w:szCs w:val="32"/>
        </w:rPr>
        <w:t>1.一般公共预算当年拨款规模变化情况</w:t>
      </w:r>
    </w:p>
    <w:p>
      <w:pPr>
        <w:ind w:firstLine="642"/>
        <w:rPr>
          <w:rFonts w:ascii="仿宋_GB2312" w:eastAsia="仿宋_GB2312"/>
          <w:color w:val="000000"/>
          <w:sz w:val="32"/>
          <w:szCs w:val="32"/>
        </w:rPr>
      </w:pPr>
      <w:r>
        <w:rPr>
          <w:rFonts w:hint="eastAsia" w:ascii="仿宋_GB2312" w:eastAsia="仿宋_GB2312"/>
          <w:color w:val="000000"/>
          <w:sz w:val="32"/>
          <w:szCs w:val="32"/>
        </w:rPr>
        <w:t>我会2017年一般公共预算当年拨款401.59万元，比2016年执行数减少38.12万元，主要是工作人员减少。</w:t>
      </w:r>
    </w:p>
    <w:p>
      <w:pPr>
        <w:ind w:firstLine="642"/>
        <w:rPr>
          <w:rFonts w:ascii="仿宋_GB2312" w:hAnsi="楷体_GB2312" w:eastAsia="仿宋_GB2312" w:cs="楷体_GB2312"/>
          <w:b/>
          <w:color w:val="000000"/>
          <w:sz w:val="32"/>
          <w:szCs w:val="32"/>
        </w:rPr>
      </w:pPr>
      <w:r>
        <w:rPr>
          <w:rFonts w:hint="eastAsia" w:ascii="仿宋_GB2312" w:hAnsi="楷体_GB2312" w:eastAsia="仿宋_GB2312" w:cs="楷体_GB2312"/>
          <w:b/>
          <w:color w:val="000000"/>
          <w:sz w:val="32"/>
          <w:szCs w:val="32"/>
        </w:rPr>
        <w:t>2.一般公共预算当年拨款结构情况</w:t>
      </w:r>
    </w:p>
    <w:p>
      <w:pPr>
        <w:rPr>
          <w:rFonts w:ascii="仿宋_GB2312" w:eastAsia="仿宋_GB2312"/>
          <w:color w:val="000000"/>
          <w:sz w:val="32"/>
          <w:szCs w:val="32"/>
        </w:rPr>
      </w:pPr>
      <w:r>
        <w:rPr>
          <w:rFonts w:hint="eastAsia" w:ascii="仿宋_GB2312" w:eastAsia="仿宋_GB2312"/>
          <w:color w:val="000000"/>
          <w:sz w:val="32"/>
          <w:szCs w:val="32"/>
        </w:rPr>
        <w:t xml:space="preserve">    社会保障和就业支出378.74万元，占94.31%；医疗卫生支出9.45万元，占2.35%；住房保障支出13.40万元，占3.34%。</w:t>
      </w:r>
    </w:p>
    <w:p>
      <w:pPr>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hAnsi="楷体_GB2312" w:eastAsia="仿宋_GB2312" w:cs="楷体_GB2312"/>
          <w:b/>
          <w:color w:val="000000"/>
          <w:sz w:val="32"/>
          <w:szCs w:val="32"/>
        </w:rPr>
        <w:t xml:space="preserve">  3.一般公共预算当年拨款具体使用情况</w:t>
      </w:r>
    </w:p>
    <w:p>
      <w:pPr>
        <w:ind w:firstLine="640"/>
        <w:jc w:val="left"/>
        <w:rPr>
          <w:rFonts w:ascii="仿宋_GB2312" w:eastAsia="仿宋_GB2312"/>
          <w:color w:val="000000"/>
          <w:sz w:val="32"/>
          <w:szCs w:val="32"/>
        </w:rPr>
      </w:pPr>
      <w:r>
        <w:rPr>
          <w:rFonts w:hint="eastAsia" w:ascii="仿宋_GB2312" w:eastAsia="仿宋_GB2312"/>
          <w:color w:val="000000"/>
          <w:sz w:val="32"/>
          <w:szCs w:val="32"/>
        </w:rPr>
        <w:t>（1）社会保障和就业支出（类）红十字事业（款）行政运行（项）事务200.18万元，主要用于本单位的人员基本支出经费。</w:t>
      </w:r>
    </w:p>
    <w:p>
      <w:pPr>
        <w:ind w:firstLine="640"/>
        <w:jc w:val="left"/>
        <w:rPr>
          <w:rFonts w:ascii="仿宋_GB2312" w:eastAsia="仿宋_GB2312"/>
          <w:color w:val="000000"/>
          <w:sz w:val="32"/>
          <w:szCs w:val="32"/>
        </w:rPr>
      </w:pPr>
      <w:r>
        <w:rPr>
          <w:rFonts w:hint="eastAsia" w:ascii="仿宋_GB2312" w:eastAsia="仿宋_GB2312"/>
          <w:color w:val="000000"/>
          <w:sz w:val="32"/>
          <w:szCs w:val="32"/>
        </w:rPr>
        <w:t>（2）社会保障和就业支出（类）红十字事业（款）一般行政管理（项）事务28.56万元，主要用于本单位的办公楼管理和业务宣传等经费。</w:t>
      </w:r>
    </w:p>
    <w:p>
      <w:pPr>
        <w:ind w:firstLine="640"/>
        <w:jc w:val="left"/>
        <w:rPr>
          <w:rFonts w:ascii="仿宋_GB2312" w:eastAsia="仿宋_GB2312"/>
          <w:color w:val="000000"/>
          <w:sz w:val="32"/>
          <w:szCs w:val="32"/>
        </w:rPr>
      </w:pPr>
      <w:r>
        <w:rPr>
          <w:rFonts w:hint="eastAsia" w:ascii="仿宋_GB2312" w:eastAsia="仿宋_GB2312"/>
          <w:color w:val="000000"/>
          <w:sz w:val="32"/>
          <w:szCs w:val="32"/>
        </w:rPr>
        <w:t>（3）社会保障和就业支出（类）红十字事业（款）其他红十字事业（项）事务150万元，主要用于</w:t>
      </w:r>
      <w:r>
        <w:rPr>
          <w:rFonts w:hint="eastAsia" w:ascii="仿宋_GB2312" w:hAnsi="仿宋_GB2312" w:eastAsia="仿宋_GB2312"/>
          <w:sz w:val="32"/>
          <w:szCs w:val="32"/>
        </w:rPr>
        <w:t>本单位开展应急救护培训、救灾救援救助、造血干细胞捐献、器官（遗体、组织）捐献、学校红十字青少年、基层组织（包括阵地、志愿服务）建设等红十字事业各项工作的支出。</w:t>
      </w:r>
    </w:p>
    <w:p>
      <w:pPr>
        <w:ind w:firstLine="640"/>
        <w:jc w:val="left"/>
        <w:rPr>
          <w:rFonts w:ascii="仿宋_GB2312" w:eastAsia="仿宋_GB2312"/>
          <w:color w:val="000000"/>
          <w:sz w:val="32"/>
          <w:szCs w:val="32"/>
        </w:rPr>
      </w:pPr>
      <w:r>
        <w:rPr>
          <w:rFonts w:hint="eastAsia" w:ascii="仿宋_GB2312" w:eastAsia="仿宋_GB2312"/>
          <w:color w:val="000000"/>
          <w:sz w:val="32"/>
          <w:szCs w:val="32"/>
        </w:rPr>
        <w:t>（4）医疗卫生支出（类）行政事业单位医疗（款）行政单位医疗（项）事务9.45万元，主要用于本单位人员的单位基本医疗保险缴费经费。</w:t>
      </w:r>
    </w:p>
    <w:p>
      <w:pPr>
        <w:ind w:firstLine="640"/>
        <w:jc w:val="left"/>
        <w:rPr>
          <w:rFonts w:ascii="仿宋_GB2312" w:eastAsia="仿宋_GB2312"/>
          <w:sz w:val="32"/>
          <w:szCs w:val="32"/>
        </w:rPr>
      </w:pPr>
      <w:r>
        <w:rPr>
          <w:rFonts w:hint="eastAsia" w:ascii="仿宋_GB2312" w:eastAsia="仿宋_GB2312"/>
          <w:sz w:val="32"/>
          <w:szCs w:val="32"/>
        </w:rPr>
        <w:t>（5）住房保障支出（类）住房改革支出（款）购房补贴（项）事务0.70万元，主要用于本单位符合房改政策规定的购买住房补贴经费。</w:t>
      </w:r>
    </w:p>
    <w:p>
      <w:pPr>
        <w:ind w:firstLine="640"/>
        <w:jc w:val="left"/>
        <w:rPr>
          <w:rFonts w:ascii="仿宋_GB2312" w:eastAsia="仿宋_GB2312"/>
          <w:color w:val="000000"/>
          <w:sz w:val="32"/>
          <w:szCs w:val="32"/>
        </w:rPr>
      </w:pPr>
      <w:r>
        <w:rPr>
          <w:rFonts w:hint="eastAsia" w:ascii="仿宋_GB2312" w:eastAsia="仿宋_GB2312"/>
          <w:color w:val="000000"/>
          <w:sz w:val="32"/>
          <w:szCs w:val="32"/>
        </w:rPr>
        <w:t>（6）住房保障支出（类）住房改革支出（款）住房公积金（项）事务12.70万元，主要用于本单位人员的住房公积金经费。</w:t>
      </w:r>
    </w:p>
    <w:p>
      <w:pPr>
        <w:rPr>
          <w:rFonts w:ascii="楷体_GB2312" w:hAnsi="楷体_GB2312" w:eastAsia="楷体_GB2312" w:cs="楷体_GB2312"/>
          <w:color w:val="000000"/>
          <w:sz w:val="32"/>
          <w:szCs w:val="32"/>
        </w:rPr>
      </w:pPr>
      <w:r>
        <w:rPr>
          <w:rFonts w:hint="eastAsia" w:ascii="楷体_GB2312" w:hAnsi="楷体_GB2312" w:eastAsia="楷体_GB2312" w:cs="楷体_GB2312"/>
          <w:b/>
          <w:color w:val="000000"/>
          <w:sz w:val="32"/>
          <w:szCs w:val="32"/>
        </w:rPr>
        <w:t xml:space="preserve">    </w:t>
      </w:r>
      <w:r>
        <w:rPr>
          <w:rFonts w:hint="eastAsia" w:ascii="楷体_GB2312" w:hAnsi="楷体_GB2312" w:eastAsia="楷体_GB2312" w:cs="楷体_GB2312"/>
          <w:color w:val="000000"/>
          <w:sz w:val="32"/>
          <w:szCs w:val="32"/>
        </w:rPr>
        <w:t>（六）关于红十字会2017年一般公共预算基本支出情况说明</w:t>
      </w:r>
    </w:p>
    <w:p>
      <w:pPr>
        <w:ind w:firstLine="642"/>
        <w:rPr>
          <w:rFonts w:ascii="仿宋_GB2312" w:eastAsia="仿宋_GB2312"/>
          <w:color w:val="000000"/>
          <w:sz w:val="32"/>
          <w:szCs w:val="32"/>
        </w:rPr>
      </w:pPr>
      <w:r>
        <w:rPr>
          <w:rFonts w:hint="eastAsia" w:ascii="仿宋_GB2312" w:eastAsia="仿宋_GB2312"/>
          <w:color w:val="000000"/>
          <w:sz w:val="32"/>
          <w:szCs w:val="32"/>
        </w:rPr>
        <w:t>我会2017年一般公共预算基本支出223.03万元，其中：</w:t>
      </w:r>
    </w:p>
    <w:p>
      <w:pPr>
        <w:ind w:firstLine="642"/>
        <w:rPr>
          <w:rFonts w:ascii="仿宋_GB2312" w:eastAsia="仿宋_GB2312"/>
          <w:color w:val="000000"/>
          <w:sz w:val="32"/>
          <w:szCs w:val="32"/>
        </w:rPr>
      </w:pPr>
      <w:r>
        <w:rPr>
          <w:rFonts w:hint="eastAsia" w:ascii="仿宋_GB2312" w:eastAsia="仿宋_GB2312"/>
          <w:color w:val="000000"/>
          <w:sz w:val="32"/>
          <w:szCs w:val="32"/>
        </w:rPr>
        <w:t>人员经费173.66万元，主要包括：基本工资、津贴补贴、奖金、社会保障缴费、绩效工资、其他工资福利支出、医疗费、住房公积金、购房补贴、其他对个人和家庭的补助支出；</w:t>
      </w:r>
    </w:p>
    <w:p>
      <w:pPr>
        <w:ind w:firstLine="642"/>
        <w:rPr>
          <w:rFonts w:ascii="仿宋_GB2312" w:eastAsia="仿宋_GB2312"/>
          <w:color w:val="000000"/>
          <w:sz w:val="32"/>
          <w:szCs w:val="32"/>
        </w:rPr>
      </w:pPr>
      <w:r>
        <w:rPr>
          <w:rFonts w:hint="eastAsia" w:ascii="仿宋_GB2312" w:eastAsia="仿宋_GB2312"/>
          <w:color w:val="000000"/>
          <w:sz w:val="32"/>
          <w:szCs w:val="32"/>
        </w:rPr>
        <w:t>公用经费49.37万元，主要包括：办公费、印刷费、手续费、邮电费、差旅费、因公出国（境）费用、维修（护）费、会议费、培训费、公务接待费、劳务费、</w:t>
      </w:r>
      <w:r>
        <w:rPr>
          <w:rFonts w:hint="eastAsia" w:ascii="仿宋_GB2312" w:eastAsia="仿宋_GB2312"/>
          <w:sz w:val="32"/>
          <w:szCs w:val="32"/>
        </w:rPr>
        <w:t>工会经费、</w:t>
      </w:r>
      <w:r>
        <w:rPr>
          <w:rFonts w:hint="eastAsia" w:ascii="仿宋_GB2312" w:eastAsia="仿宋_GB2312"/>
          <w:color w:val="000000"/>
          <w:sz w:val="32"/>
          <w:szCs w:val="32"/>
        </w:rPr>
        <w:t>福利费、公务用车运行维护费、其他交通费用、其他商品和服务支出。</w:t>
      </w:r>
    </w:p>
    <w:p>
      <w:pPr>
        <w:ind w:firstLine="642"/>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（七）关于红十字会2017年政府性基金预算支出情况说明</w:t>
      </w:r>
    </w:p>
    <w:p>
      <w:pPr>
        <w:ind w:left="477" w:leftChars="227"/>
        <w:rPr>
          <w:rFonts w:ascii="仿宋_GB2312" w:eastAsia="仿宋_GB2312"/>
          <w:color w:val="000000"/>
          <w:sz w:val="32"/>
          <w:szCs w:val="32"/>
        </w:rPr>
      </w:pPr>
      <w:r>
        <w:rPr>
          <w:rFonts w:hint="eastAsia" w:ascii="仿宋_GB2312" w:eastAsia="仿宋_GB2312"/>
          <w:color w:val="000000"/>
          <w:sz w:val="32"/>
          <w:szCs w:val="32"/>
        </w:rPr>
        <w:t xml:space="preserve">   我会2017年没有使用政府性基金预算拨款安排的支出。</w:t>
      </w:r>
    </w:p>
    <w:p>
      <w:pPr>
        <w:ind w:firstLine="627" w:firstLineChars="196"/>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（八）关于红十字会2017年 “三公”经费预算情况说明</w:t>
      </w:r>
    </w:p>
    <w:p>
      <w:pPr>
        <w:pStyle w:val="24"/>
        <w:ind w:firstLine="640" w:firstLineChars="200"/>
        <w:rPr>
          <w:rFonts w:ascii="仿宋_GB2312" w:eastAsia="仿宋_GB2312"/>
          <w:color w:val="000000"/>
          <w:kern w:val="2"/>
          <w:sz w:val="32"/>
          <w:szCs w:val="32"/>
        </w:rPr>
      </w:pPr>
      <w:r>
        <w:rPr>
          <w:rFonts w:hint="eastAsia" w:ascii="仿宋_GB2312" w:eastAsia="仿宋_GB2312"/>
          <w:color w:val="000000"/>
          <w:kern w:val="2"/>
          <w:sz w:val="32"/>
          <w:szCs w:val="32"/>
        </w:rPr>
        <w:t>1.因公出国（境）费用：</w:t>
      </w:r>
      <w:r>
        <w:rPr>
          <w:rFonts w:hint="eastAsia" w:ascii="仿宋_GB2312" w:eastAsia="仿宋_GB2312"/>
          <w:sz w:val="32"/>
          <w:szCs w:val="32"/>
        </w:rPr>
        <w:t>根据市外事侨务办安排的因公出国计划和实际工作需要，2017年安排因公出国（境）费用预算5万元，比上年预算数增长100%。主要用于机关人员的公务出国（境）的国际旅费、国外城市间交通费、住宿费、伙食费、培训费、公杂费等支出。增加的主要原因是新增出国（境）预算费用。</w:t>
      </w:r>
    </w:p>
    <w:p>
      <w:pPr>
        <w:pStyle w:val="24"/>
        <w:ind w:firstLine="640" w:firstLineChars="200"/>
        <w:rPr>
          <w:rFonts w:ascii="仿宋_GB2312" w:eastAsia="仿宋_GB2312"/>
          <w:sz w:val="32"/>
          <w:szCs w:val="32"/>
        </w:rPr>
      </w:pPr>
      <w:r>
        <w:rPr>
          <w:rFonts w:hint="eastAsia" w:ascii="仿宋_GB2312" w:eastAsia="仿宋_GB2312"/>
          <w:sz w:val="32"/>
          <w:szCs w:val="32"/>
        </w:rPr>
        <w:t>2.公务接待费：2017年安排公务接待费预算1万元，比上年预算数相同。主要用于接待本单位各类公务接待（含外宾接待）等支出。</w:t>
      </w:r>
    </w:p>
    <w:p>
      <w:pPr>
        <w:pStyle w:val="24"/>
        <w:ind w:firstLine="640" w:firstLineChars="200"/>
        <w:rPr>
          <w:rFonts w:ascii="仿宋_GB2312" w:eastAsia="仿宋_GB2312"/>
          <w:b/>
          <w:bCs/>
          <w:sz w:val="32"/>
          <w:szCs w:val="32"/>
        </w:rPr>
      </w:pPr>
      <w:r>
        <w:rPr>
          <w:rFonts w:hint="eastAsia" w:ascii="仿宋_GB2312" w:eastAsia="仿宋_GB2312"/>
          <w:sz w:val="32"/>
          <w:szCs w:val="32"/>
        </w:rPr>
        <w:t>3.公务用车购置及运行维护费：2017年安排公务用车购置及运行维护费预算0万元，比上年执行数增长0%。其中，公务用车购置支出0万元（含购置税等附加费用），主要用于经批准购置的0辆公务用车；公务用车运行维护费支出0万元。</w:t>
      </w:r>
    </w:p>
    <w:p>
      <w:pPr>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（九）其他重要事项的情况说明</w:t>
      </w:r>
    </w:p>
    <w:p>
      <w:pPr>
        <w:pStyle w:val="24"/>
        <w:ind w:firstLine="600"/>
        <w:rPr>
          <w:rFonts w:ascii="仿宋_GB2312" w:eastAsia="仿宋_GB2312"/>
          <w:b/>
          <w:bCs/>
          <w:sz w:val="32"/>
          <w:szCs w:val="32"/>
        </w:rPr>
      </w:pPr>
      <w:r>
        <w:rPr>
          <w:rFonts w:hint="eastAsia" w:ascii="仿宋_GB2312" w:eastAsia="仿宋_GB2312"/>
          <w:b/>
          <w:bCs/>
          <w:sz w:val="32"/>
          <w:szCs w:val="32"/>
        </w:rPr>
        <w:t>1.机关运行经费</w:t>
      </w:r>
    </w:p>
    <w:p>
      <w:pPr>
        <w:pStyle w:val="24"/>
        <w:ind w:firstLine="640" w:firstLineChars="200"/>
        <w:rPr>
          <w:rFonts w:ascii="仿宋_GB2312" w:eastAsia="仿宋_GB2312"/>
          <w:sz w:val="32"/>
          <w:szCs w:val="32"/>
        </w:rPr>
      </w:pPr>
      <w:r>
        <w:rPr>
          <w:rFonts w:hint="eastAsia" w:ascii="仿宋_GB2312" w:eastAsia="仿宋_GB2312"/>
          <w:sz w:val="32"/>
          <w:szCs w:val="32"/>
        </w:rPr>
        <w:t>2017年</w:t>
      </w:r>
      <w:r>
        <w:rPr>
          <w:rFonts w:hint="eastAsia" w:ascii="仿宋_GB2312" w:eastAsia="仿宋_GB2312"/>
          <w:color w:val="000000"/>
          <w:sz w:val="32"/>
          <w:szCs w:val="32"/>
        </w:rPr>
        <w:t>红十字会本级1家参照公务员管理事业单位的机关运行经费财政拨款预算49.37万元。</w:t>
      </w:r>
    </w:p>
    <w:p>
      <w:pPr>
        <w:pStyle w:val="24"/>
        <w:rPr>
          <w:rFonts w:ascii="仿宋_GB2312" w:eastAsia="仿宋_GB2312"/>
          <w:b/>
          <w:bCs/>
          <w:sz w:val="32"/>
          <w:szCs w:val="32"/>
        </w:rPr>
      </w:pPr>
      <w:r>
        <w:rPr>
          <w:rFonts w:hint="eastAsia" w:ascii="仿宋_GB2312" w:eastAsia="仿宋_GB2312"/>
          <w:b/>
          <w:bCs/>
          <w:sz w:val="32"/>
          <w:szCs w:val="32"/>
        </w:rPr>
        <w:t xml:space="preserve">    2.绩效目标设置情况</w:t>
      </w:r>
    </w:p>
    <w:p>
      <w:pPr>
        <w:pStyle w:val="24"/>
        <w:ind w:firstLine="645"/>
        <w:rPr>
          <w:rFonts w:hint="eastAsia"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年红十字会支出预算项目经费均实现绩效目标管理，涉及当年一般公共预算支出178.56万元。</w:t>
      </w:r>
    </w:p>
    <w:p>
      <w:pPr>
        <w:ind w:firstLine="643" w:firstLineChars="200"/>
        <w:rPr>
          <w:rFonts w:hint="eastAsia" w:ascii="仿宋_GB2312" w:eastAsia="仿宋_GB2312"/>
          <w:b/>
          <w:bCs/>
          <w:kern w:val="0"/>
          <w:sz w:val="32"/>
          <w:szCs w:val="32"/>
        </w:rPr>
      </w:pPr>
      <w:r>
        <w:rPr>
          <w:rFonts w:hint="eastAsia" w:ascii="仿宋_GB2312" w:eastAsia="仿宋_GB2312"/>
          <w:b/>
          <w:bCs/>
          <w:kern w:val="0"/>
          <w:sz w:val="32"/>
          <w:szCs w:val="32"/>
        </w:rPr>
        <w:t>3、采购预算情况</w:t>
      </w:r>
    </w:p>
    <w:p>
      <w:pPr>
        <w:ind w:firstLine="640" w:firstLineChars="200"/>
        <w:rPr>
          <w:rFonts w:ascii="仿宋_GB2312" w:eastAsia="仿宋_GB2312"/>
          <w:kern w:val="0"/>
          <w:sz w:val="32"/>
          <w:szCs w:val="32"/>
        </w:rPr>
      </w:pPr>
      <w:r>
        <w:rPr>
          <w:rFonts w:hint="eastAsia" w:ascii="仿宋_GB2312" w:eastAsia="仿宋_GB2312"/>
          <w:kern w:val="0"/>
          <w:sz w:val="32"/>
          <w:szCs w:val="32"/>
        </w:rPr>
        <w:t>2017年市红十字会采购预算总额0万元，其中：政府采购货物预算0万元，政府采购工程预算0万元，政府采购服务预算0万元。</w:t>
      </w:r>
    </w:p>
    <w:p>
      <w:pPr>
        <w:ind w:left="477" w:leftChars="227"/>
        <w:rPr>
          <w:rStyle w:val="12"/>
          <w:rFonts w:ascii="黑体" w:eastAsia="黑体"/>
          <w:b w:val="0"/>
          <w:sz w:val="32"/>
          <w:szCs w:val="32"/>
        </w:rPr>
      </w:pPr>
      <w:r>
        <w:rPr>
          <w:rStyle w:val="12"/>
          <w:rFonts w:hint="eastAsia" w:ascii="黑体" w:eastAsia="黑体"/>
          <w:b w:val="0"/>
          <w:sz w:val="32"/>
          <w:szCs w:val="32"/>
        </w:rPr>
        <w:t>三、名词解释</w:t>
      </w:r>
    </w:p>
    <w:p>
      <w:pPr>
        <w:ind w:firstLine="640" w:firstLineChars="200"/>
        <w:rPr>
          <w:rFonts w:ascii="仿宋_GB2312" w:eastAsia="仿宋_GB2312"/>
          <w:bCs/>
          <w:color w:val="000000"/>
          <w:sz w:val="32"/>
          <w:szCs w:val="32"/>
        </w:rPr>
      </w:pPr>
      <w:r>
        <w:rPr>
          <w:rFonts w:hint="eastAsia" w:ascii="仿宋_GB2312" w:eastAsia="仿宋_GB2312"/>
          <w:bCs/>
          <w:color w:val="000000"/>
          <w:sz w:val="32"/>
          <w:szCs w:val="32"/>
        </w:rPr>
        <w:t>1.财政拨款收入：</w:t>
      </w:r>
      <w:r>
        <w:rPr>
          <w:rFonts w:hint="eastAsia" w:ascii="仿宋_GB2312" w:hAnsi="仿宋_GB2312" w:eastAsia="仿宋_GB2312"/>
          <w:sz w:val="32"/>
          <w:szCs w:val="32"/>
        </w:rPr>
        <w:t>本级财政部门当年拨付的财政预算资金，包括一般公共预算财政拨款和政府性基金预算财政拨款。</w:t>
      </w:r>
    </w:p>
    <w:p>
      <w:pPr>
        <w:ind w:firstLine="640" w:firstLineChars="200"/>
        <w:rPr>
          <w:rFonts w:eastAsia="仿宋_GB2312"/>
          <w:sz w:val="32"/>
          <w:szCs w:val="32"/>
        </w:rPr>
      </w:pPr>
      <w:r>
        <w:rPr>
          <w:rFonts w:hint="eastAsia" w:ascii="仿宋_GB2312" w:eastAsia="仿宋_GB2312"/>
          <w:bCs/>
          <w:color w:val="000000"/>
          <w:sz w:val="32"/>
          <w:szCs w:val="32"/>
        </w:rPr>
        <w:t>2.专户资金:</w:t>
      </w:r>
      <w:r>
        <w:rPr>
          <w:rFonts w:eastAsia="仿宋_GB2312"/>
          <w:sz w:val="32"/>
          <w:szCs w:val="32"/>
        </w:rPr>
        <w:t>作为本部门的事业收入，纳入财政专户管理的资金。</w:t>
      </w:r>
    </w:p>
    <w:p>
      <w:pPr>
        <w:ind w:firstLine="640" w:firstLineChars="200"/>
        <w:rPr>
          <w:rFonts w:ascii="仿宋_GB2312" w:hAnsi="仿宋_GB2312" w:eastAsia="仿宋_GB2312"/>
          <w:sz w:val="32"/>
          <w:szCs w:val="32"/>
        </w:rPr>
      </w:pPr>
      <w:r>
        <w:rPr>
          <w:rFonts w:hint="eastAsia" w:eastAsia="仿宋_GB2312"/>
          <w:sz w:val="32"/>
          <w:szCs w:val="32"/>
        </w:rPr>
        <w:t>3.单位结余：是指上年度预算未使用完毕需继续纳入本年度预算的资金（包括一般公共预算、政府性基金预算和专户资金预算）。</w:t>
      </w:r>
    </w:p>
    <w:p>
      <w:pPr>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4.事业收入：</w:t>
      </w:r>
      <w:r>
        <w:rPr>
          <w:rFonts w:hint="eastAsia" w:ascii="仿宋_GB2312" w:hAnsi="仿宋_GB2312" w:eastAsia="仿宋_GB2312"/>
          <w:sz w:val="32"/>
          <w:szCs w:val="32"/>
        </w:rPr>
        <w:t>事业单位开展专业业务活动及辅助活动所取得的收入，不含专户资金收入。</w:t>
      </w:r>
    </w:p>
    <w:p>
      <w:pPr>
        <w:ind w:firstLine="640" w:firstLineChars="200"/>
        <w:rPr>
          <w:rFonts w:ascii="仿宋_GB2312" w:hAnsi="仿宋_GB2312" w:eastAsia="仿宋_GB2312"/>
          <w:sz w:val="32"/>
          <w:szCs w:val="32"/>
        </w:rPr>
      </w:pPr>
      <w:r>
        <w:rPr>
          <w:rFonts w:hint="eastAsia" w:ascii="仿宋_GB2312" w:eastAsia="仿宋_GB2312"/>
          <w:bCs/>
          <w:color w:val="000000"/>
          <w:sz w:val="32"/>
          <w:szCs w:val="32"/>
        </w:rPr>
        <w:t>5.事业单位经营收入：</w:t>
      </w:r>
      <w:r>
        <w:rPr>
          <w:rFonts w:hint="eastAsia" w:ascii="仿宋_GB2312" w:hAnsi="仿宋_GB2312" w:eastAsia="仿宋_GB2312"/>
          <w:sz w:val="32"/>
          <w:szCs w:val="32"/>
        </w:rPr>
        <w:t>事业单位在专业业务活动及辅助活动之外开展非独立核算经营活动取得的收入。</w:t>
      </w:r>
    </w:p>
    <w:p>
      <w:pPr>
        <w:ind w:firstLine="640" w:firstLineChars="200"/>
        <w:rPr>
          <w:rFonts w:ascii="仿宋_GB2312" w:eastAsia="仿宋_GB2312"/>
          <w:bCs/>
          <w:color w:val="000000"/>
          <w:sz w:val="32"/>
          <w:szCs w:val="32"/>
        </w:rPr>
      </w:pPr>
      <w:r>
        <w:rPr>
          <w:rFonts w:hint="eastAsia" w:ascii="仿宋_GB2312" w:eastAsia="仿宋_GB2312"/>
          <w:bCs/>
          <w:color w:val="000000"/>
          <w:sz w:val="32"/>
          <w:szCs w:val="32"/>
        </w:rPr>
        <w:t>6.其他收入：</w:t>
      </w:r>
      <w:r>
        <w:rPr>
          <w:rFonts w:hint="eastAsia" w:ascii="仿宋_GB2312" w:hAnsi="仿宋_GB2312" w:eastAsia="仿宋_GB2312"/>
          <w:sz w:val="32"/>
          <w:szCs w:val="32"/>
        </w:rPr>
        <w:t>预算单位在“财政拨款、事业收入、经营收入”等之外取得的各项收入（含上级补助收入和附属单位缴款等收入）。</w:t>
      </w:r>
    </w:p>
    <w:p>
      <w:pPr>
        <w:ind w:firstLine="640" w:firstLineChars="200"/>
        <w:rPr>
          <w:rFonts w:eastAsia="仿宋_GB2312"/>
          <w:sz w:val="32"/>
          <w:szCs w:val="32"/>
        </w:rPr>
      </w:pPr>
      <w:r>
        <w:rPr>
          <w:rFonts w:hint="eastAsia" w:ascii="仿宋_GB2312" w:eastAsia="仿宋_GB2312"/>
          <w:bCs/>
          <w:color w:val="000000"/>
          <w:sz w:val="32"/>
          <w:szCs w:val="32"/>
        </w:rPr>
        <w:t>7.用事业基金弥补收支差额：指事业单位在预计用当年的“财政拨款收入”、“专户资金”、“事业收入”、“事业单位经营收入”、“其他收入”、“上年结转”等不足以安排当年支出的情况下，使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ind w:firstLine="640" w:firstLineChars="200"/>
        <w:rPr>
          <w:rFonts w:eastAsia="仿宋_GB2312"/>
          <w:sz w:val="32"/>
          <w:szCs w:val="32"/>
        </w:rPr>
      </w:pPr>
      <w:r>
        <w:rPr>
          <w:rFonts w:hint="eastAsia" w:ascii="仿宋_GB2312" w:eastAsia="仿宋_GB2312"/>
          <w:bCs/>
          <w:color w:val="000000"/>
          <w:sz w:val="32"/>
          <w:szCs w:val="32"/>
        </w:rPr>
        <w:t>8.</w:t>
      </w:r>
      <w:r>
        <w:rPr>
          <w:rFonts w:hint="eastAsia" w:eastAsia="仿宋_GB2312"/>
          <w:sz w:val="32"/>
          <w:szCs w:val="32"/>
        </w:rPr>
        <w:t>上年结转：指以前年度尚未完成、结转到本年仍按原规定用途继续使用的资金。</w:t>
      </w:r>
    </w:p>
    <w:p>
      <w:pPr>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9.基本支出：是预算单位为保障其正常运转，完成日常工作任务所发生的支出，包括人员支出和日常公用支出。</w:t>
      </w:r>
    </w:p>
    <w:p>
      <w:pPr>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10.项目支出：是预算单位为完成其特定的行政工作任务或事业发展目标所发生的支出。</w:t>
      </w:r>
    </w:p>
    <w:p>
      <w:pPr>
        <w:ind w:firstLine="640"/>
        <w:jc w:val="left"/>
        <w:rPr>
          <w:rFonts w:ascii="仿宋_GB2312" w:eastAsia="仿宋_GB2312"/>
          <w:color w:val="000000"/>
          <w:sz w:val="32"/>
          <w:szCs w:val="32"/>
        </w:rPr>
      </w:pPr>
      <w:r>
        <w:rPr>
          <w:rFonts w:hint="eastAsia" w:ascii="仿宋_GB2312" w:eastAsia="仿宋_GB2312"/>
          <w:color w:val="000000"/>
          <w:sz w:val="32"/>
          <w:szCs w:val="32"/>
        </w:rPr>
        <w:t>11.社会保障和就业支出（类）红十字事业（款）行政运行（项）事务：是指用于本单位的人员基本支出经费。</w:t>
      </w:r>
    </w:p>
    <w:p>
      <w:pPr>
        <w:ind w:firstLine="640"/>
        <w:jc w:val="left"/>
        <w:rPr>
          <w:rFonts w:ascii="仿宋_GB2312" w:eastAsia="仿宋_GB2312"/>
          <w:color w:val="000000"/>
          <w:sz w:val="32"/>
          <w:szCs w:val="32"/>
        </w:rPr>
      </w:pPr>
      <w:r>
        <w:rPr>
          <w:rFonts w:hint="eastAsia" w:ascii="仿宋_GB2312" w:eastAsia="仿宋_GB2312"/>
          <w:color w:val="000000"/>
          <w:sz w:val="32"/>
          <w:szCs w:val="32"/>
        </w:rPr>
        <w:t>12.社会保障和就业支出（类）红十字事业（款）一般行政管理（项）事务：是指用于本单位的办公楼管理和业务宣传等经费。</w:t>
      </w:r>
    </w:p>
    <w:p>
      <w:pPr>
        <w:ind w:firstLine="640"/>
        <w:jc w:val="left"/>
        <w:rPr>
          <w:rFonts w:ascii="仿宋_GB2312" w:eastAsia="仿宋_GB2312"/>
          <w:color w:val="000000"/>
          <w:sz w:val="32"/>
          <w:szCs w:val="32"/>
        </w:rPr>
      </w:pPr>
      <w:r>
        <w:rPr>
          <w:rFonts w:hint="eastAsia" w:ascii="仿宋_GB2312" w:eastAsia="仿宋_GB2312"/>
          <w:color w:val="000000"/>
          <w:sz w:val="32"/>
          <w:szCs w:val="32"/>
        </w:rPr>
        <w:t>13.社会保障和就业支出（类）红十字事业（款）其他红十字事业（项）事务：是指用于</w:t>
      </w:r>
      <w:r>
        <w:rPr>
          <w:rFonts w:hint="eastAsia" w:ascii="仿宋_GB2312" w:hAnsi="仿宋_GB2312" w:eastAsia="仿宋_GB2312"/>
          <w:sz w:val="32"/>
          <w:szCs w:val="32"/>
        </w:rPr>
        <w:t>主要用于本单位开展应急救护培训、救灾救援救助、造血干细胞捐献、器官（遗体、组织）捐献、学校红十字青少年、基层组织（包括阵地、志愿服务）建设等红十字事业各项工作的支出</w:t>
      </w:r>
      <w:r>
        <w:rPr>
          <w:rFonts w:hint="eastAsia" w:ascii="仿宋_GB2312" w:eastAsia="仿宋_GB2312"/>
          <w:color w:val="000000"/>
          <w:sz w:val="32"/>
          <w:szCs w:val="32"/>
        </w:rPr>
        <w:t>。</w:t>
      </w:r>
    </w:p>
    <w:p>
      <w:pPr>
        <w:ind w:firstLine="640"/>
        <w:jc w:val="left"/>
        <w:rPr>
          <w:rFonts w:ascii="仿宋_GB2312" w:eastAsia="仿宋_GB2312"/>
          <w:color w:val="000000"/>
          <w:sz w:val="32"/>
          <w:szCs w:val="32"/>
        </w:rPr>
      </w:pPr>
      <w:r>
        <w:rPr>
          <w:rFonts w:hint="eastAsia" w:ascii="仿宋_GB2312" w:eastAsia="仿宋_GB2312"/>
          <w:color w:val="000000"/>
          <w:sz w:val="32"/>
          <w:szCs w:val="32"/>
        </w:rPr>
        <w:t>14.医疗卫生支出（类）行政事业单位医疗（款）行政单位医疗（项）事务：是指用于本单位人员</w:t>
      </w:r>
      <w:bookmarkStart w:id="0" w:name="_GoBack"/>
      <w:bookmarkEnd w:id="0"/>
      <w:r>
        <w:rPr>
          <w:rFonts w:hint="eastAsia" w:ascii="仿宋_GB2312" w:eastAsia="仿宋_GB2312"/>
          <w:color w:val="000000"/>
          <w:sz w:val="32"/>
          <w:szCs w:val="32"/>
        </w:rPr>
        <w:t>的单位基本医疗保险缴费经费。</w:t>
      </w:r>
    </w:p>
    <w:p>
      <w:pPr>
        <w:ind w:firstLine="640"/>
        <w:jc w:val="left"/>
        <w:rPr>
          <w:rFonts w:ascii="仿宋_GB2312" w:eastAsia="仿宋_GB2312"/>
          <w:sz w:val="32"/>
          <w:szCs w:val="32"/>
        </w:rPr>
      </w:pPr>
      <w:r>
        <w:rPr>
          <w:rFonts w:hint="eastAsia" w:ascii="仿宋_GB2312" w:eastAsia="仿宋_GB2312"/>
          <w:sz w:val="32"/>
          <w:szCs w:val="32"/>
        </w:rPr>
        <w:t>15.住房保障支出（类）住房改革支出（款）购房补贴（项）事务：是指用于本单位符合房改政策规定的购买住房补贴经费。</w:t>
      </w:r>
    </w:p>
    <w:p>
      <w:pPr>
        <w:ind w:firstLine="640"/>
        <w:jc w:val="left"/>
        <w:rPr>
          <w:rFonts w:ascii="仿宋_GB2312" w:eastAsia="仿宋_GB2312"/>
          <w:color w:val="000000"/>
          <w:sz w:val="32"/>
          <w:szCs w:val="32"/>
        </w:rPr>
      </w:pPr>
      <w:r>
        <w:rPr>
          <w:rFonts w:hint="eastAsia" w:ascii="仿宋_GB2312" w:eastAsia="仿宋_GB2312"/>
          <w:color w:val="000000"/>
          <w:sz w:val="32"/>
          <w:szCs w:val="32"/>
        </w:rPr>
        <w:t>16.住房保障支出（类）住房改革支出（款）住房公积金（项）事务：是指用于本单位人员的住房公积金经费。</w:t>
      </w:r>
    </w:p>
    <w:p>
      <w:pPr>
        <w:rPr>
          <w:sz w:val="32"/>
          <w:szCs w:val="32"/>
        </w:rPr>
      </w:pPr>
    </w:p>
    <w:p>
      <w:pPr>
        <w:widowControl/>
        <w:ind w:right="632"/>
        <w:jc w:val="left"/>
        <w:rPr>
          <w:rFonts w:ascii="黑体" w:hAnsi="黑体" w:eastAsia="黑体" w:cs="黑体"/>
          <w:bCs/>
          <w:spacing w:val="-2"/>
          <w:sz w:val="32"/>
          <w:szCs w:val="32"/>
        </w:rPr>
      </w:pPr>
    </w:p>
    <w:p>
      <w:pPr>
        <w:widowControl/>
        <w:ind w:right="632"/>
        <w:jc w:val="left"/>
        <w:rPr>
          <w:rFonts w:ascii="黑体" w:hAnsi="黑体" w:eastAsia="黑体" w:cs="黑体"/>
          <w:bCs/>
          <w:spacing w:val="-2"/>
          <w:sz w:val="32"/>
          <w:szCs w:val="32"/>
        </w:rPr>
      </w:pPr>
    </w:p>
    <w:p>
      <w:pPr>
        <w:widowControl/>
        <w:ind w:right="632"/>
        <w:jc w:val="left"/>
        <w:rPr>
          <w:rFonts w:ascii="黑体" w:hAnsi="黑体" w:eastAsia="黑体" w:cs="黑体"/>
          <w:bCs/>
          <w:spacing w:val="-2"/>
          <w:sz w:val="32"/>
          <w:szCs w:val="32"/>
        </w:rPr>
      </w:pPr>
    </w:p>
    <w:p>
      <w:pPr>
        <w:widowControl/>
        <w:ind w:right="632"/>
        <w:jc w:val="left"/>
        <w:rPr>
          <w:rFonts w:ascii="黑体" w:hAnsi="黑体" w:eastAsia="黑体" w:cs="黑体"/>
          <w:bCs/>
          <w:spacing w:val="-2"/>
          <w:sz w:val="32"/>
          <w:szCs w:val="32"/>
        </w:rPr>
      </w:pPr>
    </w:p>
    <w:p>
      <w:pPr>
        <w:widowControl/>
        <w:ind w:right="632"/>
        <w:jc w:val="left"/>
        <w:rPr>
          <w:rFonts w:ascii="黑体" w:hAnsi="黑体" w:eastAsia="黑体" w:cs="黑体"/>
          <w:bCs/>
          <w:spacing w:val="-2"/>
          <w:sz w:val="32"/>
          <w:szCs w:val="32"/>
        </w:rPr>
      </w:pPr>
    </w:p>
    <w:p>
      <w:pPr>
        <w:widowControl/>
        <w:ind w:right="632"/>
        <w:jc w:val="left"/>
        <w:rPr>
          <w:rFonts w:ascii="黑体" w:hAnsi="黑体" w:eastAsia="黑体" w:cs="黑体"/>
          <w:bCs/>
          <w:spacing w:val="-2"/>
          <w:sz w:val="32"/>
          <w:szCs w:val="32"/>
        </w:rPr>
      </w:pPr>
    </w:p>
    <w:tbl>
      <w:tblPr>
        <w:tblStyle w:val="10"/>
        <w:tblpPr w:leftFromText="180" w:rightFromText="180" w:vertAnchor="text" w:horzAnchor="margin" w:tblpY="221"/>
        <w:tblW w:w="9039" w:type="dxa"/>
        <w:tblInd w:w="0" w:type="dxa"/>
        <w:tblLayout w:type="fixed"/>
        <w:tblCellMar>
          <w:top w:w="0" w:type="dxa"/>
          <w:left w:w="108" w:type="dxa"/>
          <w:bottom w:w="0" w:type="dxa"/>
          <w:right w:w="108" w:type="dxa"/>
        </w:tblCellMar>
      </w:tblPr>
      <w:tblGrid>
        <w:gridCol w:w="2900"/>
        <w:gridCol w:w="900"/>
        <w:gridCol w:w="3254"/>
        <w:gridCol w:w="1985"/>
      </w:tblGrid>
      <w:tr>
        <w:tblPrEx>
          <w:tblCellMar>
            <w:top w:w="0" w:type="dxa"/>
            <w:left w:w="108" w:type="dxa"/>
            <w:bottom w:w="0" w:type="dxa"/>
            <w:right w:w="108" w:type="dxa"/>
          </w:tblCellMar>
        </w:tblPrEx>
        <w:trPr>
          <w:trHeight w:val="570" w:hRule="atLeast"/>
        </w:trPr>
        <w:tc>
          <w:tcPr>
            <w:tcW w:w="9039" w:type="dxa"/>
            <w:gridSpan w:val="4"/>
            <w:tcBorders>
              <w:top w:val="nil"/>
              <w:left w:val="nil"/>
              <w:bottom w:val="nil"/>
              <w:right w:val="nil"/>
            </w:tcBorders>
            <w:shd w:val="clear" w:color="auto" w:fill="auto"/>
            <w:noWrap/>
            <w:vAlign w:val="center"/>
          </w:tcPr>
          <w:p>
            <w:pPr>
              <w:widowControl/>
              <w:jc w:val="center"/>
              <w:rPr>
                <w:rFonts w:cs="宋体" w:asciiTheme="majorEastAsia" w:hAnsiTheme="majorEastAsia" w:eastAsiaTheme="majorEastAsia"/>
                <w:kern w:val="0"/>
                <w:sz w:val="44"/>
                <w:szCs w:val="44"/>
              </w:rPr>
            </w:pPr>
            <w:r>
              <w:rPr>
                <w:rFonts w:hint="eastAsia" w:cs="宋体" w:asciiTheme="majorEastAsia" w:hAnsiTheme="majorEastAsia" w:eastAsiaTheme="majorEastAsia"/>
                <w:kern w:val="0"/>
                <w:sz w:val="44"/>
                <w:szCs w:val="44"/>
              </w:rPr>
              <w:t>2017年市级部门收支预算总表</w:t>
            </w:r>
          </w:p>
        </w:tc>
      </w:tr>
      <w:tr>
        <w:tblPrEx>
          <w:tblCellMar>
            <w:top w:w="0" w:type="dxa"/>
            <w:left w:w="108" w:type="dxa"/>
            <w:bottom w:w="0" w:type="dxa"/>
            <w:right w:w="108" w:type="dxa"/>
          </w:tblCellMar>
        </w:tblPrEx>
        <w:trPr>
          <w:trHeight w:val="300" w:hRule="atLeast"/>
        </w:trPr>
        <w:tc>
          <w:tcPr>
            <w:tcW w:w="9039" w:type="dxa"/>
            <w:gridSpan w:val="4"/>
            <w:tcBorders>
              <w:top w:val="nil"/>
              <w:left w:val="nil"/>
              <w:bottom w:val="nil"/>
            </w:tcBorders>
            <w:shd w:val="clear" w:color="auto" w:fill="auto"/>
            <w:noWrap/>
            <w:vAlign w:val="center"/>
          </w:tcPr>
          <w:p>
            <w:pPr>
              <w:widowControl/>
              <w:jc w:val="left"/>
              <w:rPr>
                <w:rFonts w:ascii="方正书宋_GBK" w:hAnsi="方正书宋_GBK" w:cs="宋体"/>
                <w:kern w:val="0"/>
                <w:szCs w:val="21"/>
              </w:rPr>
            </w:pPr>
            <w:r>
              <w:rPr>
                <w:rFonts w:ascii="方正书宋_GBK" w:hAnsi="方正书宋_GBK" w:cs="宋体"/>
                <w:kern w:val="0"/>
                <w:szCs w:val="21"/>
              </w:rPr>
              <w:t>部门名称：温州市</w:t>
            </w:r>
            <w:r>
              <w:rPr>
                <w:rFonts w:hint="eastAsia" w:ascii="方正书宋_GBK" w:hAnsi="方正书宋_GBK" w:cs="宋体"/>
                <w:kern w:val="0"/>
                <w:szCs w:val="21"/>
              </w:rPr>
              <w:t xml:space="preserve">红十字会                                                </w:t>
            </w:r>
            <w:r>
              <w:rPr>
                <w:rFonts w:ascii="方正书宋_GBK" w:hAnsi="方正书宋_GBK" w:cs="宋体"/>
                <w:kern w:val="0"/>
                <w:szCs w:val="21"/>
              </w:rPr>
              <w:t>单位：万元</w:t>
            </w:r>
          </w:p>
        </w:tc>
      </w:tr>
      <w:tr>
        <w:tblPrEx>
          <w:tblCellMar>
            <w:top w:w="0" w:type="dxa"/>
            <w:left w:w="108" w:type="dxa"/>
            <w:bottom w:w="0" w:type="dxa"/>
            <w:right w:w="108" w:type="dxa"/>
          </w:tblCellMar>
        </w:tblPrEx>
        <w:trPr>
          <w:trHeight w:val="330" w:hRule="atLeast"/>
        </w:trPr>
        <w:tc>
          <w:tcPr>
            <w:tcW w:w="3800" w:type="dxa"/>
            <w:gridSpan w:val="2"/>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方正书宋_GBK" w:hAnsi="方正书宋_GBK" w:cs="宋体"/>
                <w:kern w:val="0"/>
                <w:szCs w:val="21"/>
              </w:rPr>
            </w:pPr>
            <w:r>
              <w:rPr>
                <w:rFonts w:ascii="方正书宋_GBK" w:hAnsi="方正书宋_GBK" w:cs="宋体"/>
                <w:kern w:val="0"/>
                <w:szCs w:val="21"/>
              </w:rPr>
              <w:t>收                    入</w:t>
            </w:r>
          </w:p>
        </w:tc>
        <w:tc>
          <w:tcPr>
            <w:tcW w:w="5239"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方正书宋_GBK" w:hAnsi="方正书宋_GBK" w:cs="宋体"/>
                <w:kern w:val="0"/>
                <w:szCs w:val="21"/>
              </w:rPr>
            </w:pPr>
            <w:r>
              <w:rPr>
                <w:rFonts w:ascii="方正书宋_GBK" w:hAnsi="方正书宋_GBK" w:cs="宋体"/>
                <w:kern w:val="0"/>
                <w:szCs w:val="21"/>
              </w:rPr>
              <w:t>支                    出</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方正书宋_GBK" w:cs="宋体"/>
                <w:kern w:val="0"/>
                <w:szCs w:val="21"/>
              </w:rPr>
            </w:pPr>
            <w:r>
              <w:rPr>
                <w:rFonts w:ascii="方正书宋_GBK" w:hAnsi="方正书宋_GBK" w:cs="宋体"/>
                <w:kern w:val="0"/>
                <w:szCs w:val="21"/>
              </w:rPr>
              <w:t>项               目</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预算数</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项                        目</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预算数</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一、财政拨款</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401.59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合计</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401.59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xml:space="preserve">    一般公共预算</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401.59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b/>
                <w:szCs w:val="21"/>
              </w:rPr>
            </w:pPr>
            <w:r>
              <w:rPr>
                <w:rFonts w:hint="eastAsia"/>
                <w:b/>
                <w:szCs w:val="21"/>
              </w:rPr>
              <w:t>社会保障和就业支出</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b/>
                <w:kern w:val="0"/>
                <w:szCs w:val="21"/>
              </w:rPr>
            </w:pPr>
            <w:r>
              <w:rPr>
                <w:rFonts w:hint="eastAsia" w:ascii="宋体" w:hAnsi="宋体" w:cs="宋体"/>
                <w:b/>
                <w:kern w:val="0"/>
                <w:szCs w:val="21"/>
              </w:rPr>
              <w:t>378.74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xml:space="preserve">    政府性基金预算</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b/>
                <w:szCs w:val="21"/>
              </w:rPr>
            </w:pPr>
            <w:r>
              <w:rPr>
                <w:rFonts w:hint="eastAsia"/>
                <w:b/>
                <w:szCs w:val="21"/>
              </w:rPr>
              <w:t xml:space="preserve">  红十字事业</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b/>
                <w:kern w:val="0"/>
                <w:szCs w:val="21"/>
              </w:rPr>
            </w:pPr>
            <w:r>
              <w:rPr>
                <w:rFonts w:hint="eastAsia" w:ascii="宋体" w:hAnsi="宋体" w:cs="宋体"/>
                <w:b/>
                <w:kern w:val="0"/>
                <w:szCs w:val="21"/>
              </w:rPr>
              <w:t>378.74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二、专户资金</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行政运行</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200.18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三、单位结余</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一般行政管理事务</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28.56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四、事业收入（不含专户资金）</w:t>
            </w:r>
          </w:p>
        </w:tc>
        <w:tc>
          <w:tcPr>
            <w:tcW w:w="9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其他红十字事业支出</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150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五、事业单位经营收入</w:t>
            </w:r>
          </w:p>
        </w:tc>
        <w:tc>
          <w:tcPr>
            <w:tcW w:w="9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b/>
                <w:kern w:val="0"/>
                <w:szCs w:val="21"/>
              </w:rPr>
            </w:pPr>
            <w:r>
              <w:rPr>
                <w:rFonts w:hint="eastAsia" w:ascii="宋体" w:hAnsi="宋体" w:cs="宋体"/>
                <w:b/>
                <w:kern w:val="0"/>
                <w:szCs w:val="21"/>
              </w:rPr>
              <w:t>医疗卫生与计划生育支出</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b/>
                <w:kern w:val="0"/>
                <w:szCs w:val="21"/>
              </w:rPr>
            </w:pPr>
            <w:r>
              <w:rPr>
                <w:rFonts w:hint="eastAsia" w:ascii="宋体" w:hAnsi="宋体" w:cs="宋体"/>
                <w:b/>
                <w:kern w:val="0"/>
                <w:szCs w:val="21"/>
              </w:rPr>
              <w:t>9.45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六、其他收入</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b/>
                <w:kern w:val="0"/>
                <w:szCs w:val="21"/>
              </w:rPr>
            </w:pPr>
            <w:r>
              <w:rPr>
                <w:rFonts w:hint="eastAsia" w:ascii="宋体" w:hAnsi="宋体" w:cs="宋体"/>
                <w:b/>
                <w:kern w:val="0"/>
                <w:szCs w:val="21"/>
              </w:rPr>
              <w:t xml:space="preserve">  医疗保障</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b/>
                <w:kern w:val="0"/>
                <w:szCs w:val="21"/>
              </w:rPr>
            </w:pPr>
            <w:r>
              <w:rPr>
                <w:rFonts w:hint="eastAsia" w:ascii="宋体" w:hAnsi="宋体" w:cs="宋体"/>
                <w:b/>
                <w:kern w:val="0"/>
                <w:szCs w:val="21"/>
              </w:rPr>
              <w:t>9.45</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行政事业单位医疗</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9.45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b/>
                <w:kern w:val="0"/>
                <w:szCs w:val="21"/>
              </w:rPr>
            </w:pPr>
            <w:r>
              <w:rPr>
                <w:rFonts w:hint="eastAsia" w:ascii="宋体" w:hAnsi="宋体" w:cs="宋体"/>
                <w:b/>
                <w:kern w:val="0"/>
                <w:szCs w:val="21"/>
              </w:rPr>
              <w:t>住房保障支出</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b/>
                <w:kern w:val="0"/>
                <w:szCs w:val="21"/>
              </w:rPr>
            </w:pPr>
            <w:r>
              <w:rPr>
                <w:rFonts w:hint="eastAsia" w:ascii="宋体" w:hAnsi="宋体" w:cs="宋体"/>
                <w:b/>
                <w:kern w:val="0"/>
                <w:szCs w:val="21"/>
              </w:rPr>
              <w:t>13.40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b/>
                <w:kern w:val="0"/>
                <w:szCs w:val="21"/>
              </w:rPr>
            </w:pPr>
            <w:r>
              <w:rPr>
                <w:rFonts w:hint="eastAsia" w:ascii="宋体" w:hAnsi="宋体" w:cs="宋体"/>
                <w:b/>
                <w:kern w:val="0"/>
                <w:szCs w:val="21"/>
              </w:rPr>
              <w:t xml:space="preserve">  住房改革支出</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b/>
                <w:kern w:val="0"/>
                <w:szCs w:val="21"/>
              </w:rPr>
            </w:pPr>
            <w:r>
              <w:rPr>
                <w:rFonts w:hint="eastAsia" w:ascii="宋体" w:hAnsi="宋体" w:cs="宋体"/>
                <w:b/>
                <w:kern w:val="0"/>
                <w:szCs w:val="21"/>
              </w:rPr>
              <w:t>13.40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住房公积金</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12.70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购房补贴</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0.70　</w:t>
            </w:r>
          </w:p>
        </w:tc>
      </w:tr>
      <w:tr>
        <w:tblPrEx>
          <w:tblCellMar>
            <w:top w:w="0" w:type="dxa"/>
            <w:left w:w="108" w:type="dxa"/>
            <w:bottom w:w="0" w:type="dxa"/>
            <w:right w:w="108" w:type="dxa"/>
          </w:tblCellMar>
        </w:tblPrEx>
        <w:trPr>
          <w:trHeight w:val="34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本年收入合计</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401.59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七、上级补助收入</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八、附属单位上缴收入</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九、用事业基金弥补收支差额</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十、上年结转</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其中：专项结转</w:t>
            </w:r>
          </w:p>
        </w:tc>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政府性基金结转</w:t>
            </w:r>
          </w:p>
        </w:tc>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其他结转</w:t>
            </w:r>
          </w:p>
        </w:tc>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收  入  总  计</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401.59　</w:t>
            </w:r>
          </w:p>
        </w:tc>
        <w:tc>
          <w:tcPr>
            <w:tcW w:w="3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支  出  总  计</w:t>
            </w:r>
          </w:p>
        </w:tc>
        <w:tc>
          <w:tcPr>
            <w:tcW w:w="1985"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401.59　</w:t>
            </w:r>
          </w:p>
        </w:tc>
      </w:tr>
    </w:tbl>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仿宋_GB2312" w:hAnsi="宋体" w:eastAsia="仿宋_GB2312"/>
          <w:bCs/>
          <w:spacing w:val="-2"/>
          <w:sz w:val="32"/>
          <w:szCs w:val="32"/>
        </w:rPr>
      </w:pPr>
    </w:p>
    <w:tbl>
      <w:tblPr>
        <w:tblStyle w:val="10"/>
        <w:tblW w:w="8911" w:type="dxa"/>
        <w:tblInd w:w="-36" w:type="dxa"/>
        <w:tblLayout w:type="autofit"/>
        <w:tblCellMar>
          <w:top w:w="0" w:type="dxa"/>
          <w:left w:w="108" w:type="dxa"/>
          <w:bottom w:w="0" w:type="dxa"/>
          <w:right w:w="108" w:type="dxa"/>
        </w:tblCellMar>
      </w:tblPr>
      <w:tblGrid>
        <w:gridCol w:w="2175"/>
        <w:gridCol w:w="2557"/>
        <w:gridCol w:w="872"/>
        <w:gridCol w:w="1114"/>
        <w:gridCol w:w="872"/>
        <w:gridCol w:w="1321"/>
      </w:tblGrid>
      <w:tr>
        <w:tblPrEx>
          <w:tblCellMar>
            <w:top w:w="0" w:type="dxa"/>
            <w:left w:w="108" w:type="dxa"/>
            <w:bottom w:w="0" w:type="dxa"/>
            <w:right w:w="108" w:type="dxa"/>
          </w:tblCellMar>
        </w:tblPrEx>
        <w:trPr>
          <w:trHeight w:val="685" w:hRule="atLeast"/>
        </w:trPr>
        <w:tc>
          <w:tcPr>
            <w:tcW w:w="8911" w:type="dxa"/>
            <w:gridSpan w:val="6"/>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kern w:val="0"/>
                <w:sz w:val="44"/>
                <w:szCs w:val="44"/>
              </w:rPr>
            </w:pPr>
            <w:r>
              <w:rPr>
                <w:rFonts w:hint="eastAsia" w:cs="宋体" w:asciiTheme="minorEastAsia" w:hAnsiTheme="minorEastAsia" w:eastAsiaTheme="minorEastAsia"/>
                <w:kern w:val="0"/>
                <w:sz w:val="44"/>
                <w:szCs w:val="44"/>
              </w:rPr>
              <w:t>2017年市级部门财政拨款预算表</w:t>
            </w:r>
          </w:p>
        </w:tc>
      </w:tr>
      <w:tr>
        <w:tblPrEx>
          <w:tblCellMar>
            <w:top w:w="0" w:type="dxa"/>
            <w:left w:w="108" w:type="dxa"/>
            <w:bottom w:w="0" w:type="dxa"/>
            <w:right w:w="108" w:type="dxa"/>
          </w:tblCellMar>
        </w:tblPrEx>
        <w:trPr>
          <w:trHeight w:val="525" w:hRule="atLeast"/>
        </w:trPr>
        <w:tc>
          <w:tcPr>
            <w:tcW w:w="8911" w:type="dxa"/>
            <w:gridSpan w:val="6"/>
            <w:tcBorders>
              <w:top w:val="nil"/>
              <w:left w:val="nil"/>
              <w:bottom w:val="single" w:color="auto" w:sz="4" w:space="0"/>
              <w:right w:val="nil"/>
            </w:tcBorders>
            <w:shd w:val="clear" w:color="auto" w:fill="auto"/>
            <w:noWrap/>
            <w:vAlign w:val="center"/>
          </w:tcPr>
          <w:p>
            <w:pPr>
              <w:widowControl/>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部门名称：温州市</w:t>
            </w:r>
            <w:r>
              <w:rPr>
                <w:rFonts w:hint="eastAsia" w:cs="宋体" w:asciiTheme="majorEastAsia" w:hAnsiTheme="majorEastAsia" w:eastAsiaTheme="majorEastAsia"/>
                <w:kern w:val="0"/>
                <w:szCs w:val="21"/>
              </w:rPr>
              <w:t xml:space="preserve">红十字会                                               </w:t>
            </w:r>
            <w:r>
              <w:rPr>
                <w:rFonts w:cs="宋体" w:asciiTheme="majorEastAsia" w:hAnsiTheme="majorEastAsia" w:eastAsiaTheme="majorEastAsia"/>
                <w:kern w:val="0"/>
                <w:szCs w:val="21"/>
              </w:rPr>
              <w:t>单位：万元</w:t>
            </w:r>
          </w:p>
        </w:tc>
      </w:tr>
      <w:tr>
        <w:tblPrEx>
          <w:tblCellMar>
            <w:top w:w="0" w:type="dxa"/>
            <w:left w:w="108" w:type="dxa"/>
            <w:bottom w:w="0" w:type="dxa"/>
            <w:right w:w="108" w:type="dxa"/>
          </w:tblCellMar>
        </w:tblPrEx>
        <w:trPr>
          <w:trHeight w:val="470" w:hRule="atLeast"/>
        </w:trPr>
        <w:tc>
          <w:tcPr>
            <w:tcW w:w="21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科目编码</w:t>
            </w:r>
          </w:p>
        </w:tc>
        <w:tc>
          <w:tcPr>
            <w:tcW w:w="255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科目名称</w:t>
            </w:r>
          </w:p>
        </w:tc>
        <w:tc>
          <w:tcPr>
            <w:tcW w:w="8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总计</w:t>
            </w:r>
          </w:p>
        </w:tc>
        <w:tc>
          <w:tcPr>
            <w:tcW w:w="111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基本支出</w:t>
            </w:r>
          </w:p>
        </w:tc>
        <w:tc>
          <w:tcPr>
            <w:tcW w:w="8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项目支出</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备注</w:t>
            </w:r>
          </w:p>
        </w:tc>
      </w:tr>
      <w:tr>
        <w:tblPrEx>
          <w:tblCellMar>
            <w:top w:w="0" w:type="dxa"/>
            <w:left w:w="108" w:type="dxa"/>
            <w:bottom w:w="0" w:type="dxa"/>
            <w:right w:w="108" w:type="dxa"/>
          </w:tblCellMar>
        </w:tblPrEx>
        <w:trPr>
          <w:trHeight w:val="783" w:hRule="atLeast"/>
        </w:trPr>
        <w:tc>
          <w:tcPr>
            <w:tcW w:w="217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25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111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r>
      <w:tr>
        <w:tblPrEx>
          <w:tblCellMar>
            <w:top w:w="0" w:type="dxa"/>
            <w:left w:w="108" w:type="dxa"/>
            <w:bottom w:w="0" w:type="dxa"/>
            <w:right w:w="108" w:type="dxa"/>
          </w:tblCellMar>
        </w:tblPrEx>
        <w:trPr>
          <w:trHeight w:val="599"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2</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合计</w:t>
            </w:r>
          </w:p>
        </w:tc>
        <w:tc>
          <w:tcPr>
            <w:tcW w:w="2557"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合计</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401.59 </w:t>
            </w:r>
          </w:p>
        </w:tc>
        <w:tc>
          <w:tcPr>
            <w:tcW w:w="1114"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223.03 </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178.56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208</w:t>
            </w:r>
          </w:p>
        </w:tc>
        <w:tc>
          <w:tcPr>
            <w:tcW w:w="2557"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社会保障和就业支出</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378.74</w:t>
            </w:r>
          </w:p>
        </w:tc>
        <w:tc>
          <w:tcPr>
            <w:tcW w:w="1114"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 xml:space="preserve">223.03 </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 xml:space="preserve">178.56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20816</w:t>
            </w:r>
          </w:p>
        </w:tc>
        <w:tc>
          <w:tcPr>
            <w:tcW w:w="2557"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 xml:space="preserve">  红十字事业</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378.74</w:t>
            </w:r>
          </w:p>
        </w:tc>
        <w:tc>
          <w:tcPr>
            <w:tcW w:w="1114"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 xml:space="preserve">200.18 </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2081601</w:t>
            </w:r>
          </w:p>
        </w:tc>
        <w:tc>
          <w:tcPr>
            <w:tcW w:w="2557"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行政运行</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200.18</w:t>
            </w:r>
          </w:p>
        </w:tc>
        <w:tc>
          <w:tcPr>
            <w:tcW w:w="1114"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200.18 </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2081602</w:t>
            </w:r>
          </w:p>
        </w:tc>
        <w:tc>
          <w:tcPr>
            <w:tcW w:w="2557"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一般行政管理事务</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28.56</w:t>
            </w:r>
          </w:p>
        </w:tc>
        <w:tc>
          <w:tcPr>
            <w:tcW w:w="1114"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28.56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2081699</w:t>
            </w:r>
          </w:p>
        </w:tc>
        <w:tc>
          <w:tcPr>
            <w:tcW w:w="2557"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其他红十字事业支出</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150</w:t>
            </w:r>
          </w:p>
        </w:tc>
        <w:tc>
          <w:tcPr>
            <w:tcW w:w="1114"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150.00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210</w:t>
            </w:r>
          </w:p>
        </w:tc>
        <w:tc>
          <w:tcPr>
            <w:tcW w:w="2557"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医疗卫生与计划生育支出</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9.45</w:t>
            </w:r>
          </w:p>
        </w:tc>
        <w:tc>
          <w:tcPr>
            <w:tcW w:w="1114"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9.45</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21005</w:t>
            </w:r>
          </w:p>
        </w:tc>
        <w:tc>
          <w:tcPr>
            <w:tcW w:w="2557"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 xml:space="preserve">  医疗保障</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9.45</w:t>
            </w:r>
          </w:p>
        </w:tc>
        <w:tc>
          <w:tcPr>
            <w:tcW w:w="1114"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9.45</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2100501</w:t>
            </w:r>
          </w:p>
        </w:tc>
        <w:tc>
          <w:tcPr>
            <w:tcW w:w="2557"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行政单位医疗</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9.45</w:t>
            </w:r>
          </w:p>
        </w:tc>
        <w:tc>
          <w:tcPr>
            <w:tcW w:w="1114"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9.45</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221</w:t>
            </w:r>
          </w:p>
        </w:tc>
        <w:tc>
          <w:tcPr>
            <w:tcW w:w="2557" w:type="dxa"/>
            <w:tcBorders>
              <w:top w:val="nil"/>
              <w:left w:val="nil"/>
              <w:bottom w:val="single" w:color="auto" w:sz="4" w:space="0"/>
              <w:right w:val="single" w:color="auto" w:sz="4" w:space="0"/>
            </w:tcBorders>
            <w:shd w:val="clear" w:color="auto" w:fill="auto"/>
            <w:vAlign w:val="bottom"/>
          </w:tcPr>
          <w:p>
            <w:pPr>
              <w:rPr>
                <w:rFonts w:cs="宋体" w:asciiTheme="majorEastAsia" w:hAnsiTheme="majorEastAsia" w:eastAsiaTheme="majorEastAsia"/>
                <w:b/>
                <w:szCs w:val="21"/>
              </w:rPr>
            </w:pPr>
            <w:r>
              <w:rPr>
                <w:rFonts w:hint="eastAsia" w:asciiTheme="majorEastAsia" w:hAnsiTheme="majorEastAsia" w:eastAsiaTheme="majorEastAsia"/>
                <w:b/>
                <w:szCs w:val="21"/>
              </w:rPr>
              <w:t>住房保障支出</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13.4</w:t>
            </w:r>
          </w:p>
        </w:tc>
        <w:tc>
          <w:tcPr>
            <w:tcW w:w="1114"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13.4</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szCs w:val="21"/>
              </w:rPr>
            </w:pPr>
            <w:r>
              <w:rPr>
                <w:rFonts w:hint="eastAsia" w:asciiTheme="majorEastAsia" w:hAnsiTheme="majorEastAsia" w:eastAsiaTheme="majorEastAsia"/>
                <w:b/>
                <w:szCs w:val="21"/>
              </w:rPr>
              <w:t>22102</w:t>
            </w:r>
          </w:p>
        </w:tc>
        <w:tc>
          <w:tcPr>
            <w:tcW w:w="2557" w:type="dxa"/>
            <w:tcBorders>
              <w:top w:val="nil"/>
              <w:left w:val="nil"/>
              <w:bottom w:val="single" w:color="auto" w:sz="4" w:space="0"/>
              <w:right w:val="single" w:color="auto" w:sz="4" w:space="0"/>
            </w:tcBorders>
            <w:shd w:val="clear" w:color="auto" w:fill="auto"/>
            <w:vAlign w:val="bottom"/>
          </w:tcPr>
          <w:p>
            <w:pPr>
              <w:rPr>
                <w:rFonts w:cs="宋体" w:asciiTheme="majorEastAsia" w:hAnsiTheme="majorEastAsia" w:eastAsiaTheme="majorEastAsia"/>
                <w:b/>
                <w:szCs w:val="21"/>
              </w:rPr>
            </w:pPr>
            <w:r>
              <w:rPr>
                <w:rFonts w:hint="eastAsia" w:asciiTheme="majorEastAsia" w:hAnsiTheme="majorEastAsia" w:eastAsiaTheme="majorEastAsia"/>
                <w:b/>
                <w:szCs w:val="21"/>
              </w:rPr>
              <w:t xml:space="preserve">  住房改革支出</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13.4</w:t>
            </w:r>
          </w:p>
        </w:tc>
        <w:tc>
          <w:tcPr>
            <w:tcW w:w="1114"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szCs w:val="21"/>
              </w:rPr>
            </w:pPr>
            <w:r>
              <w:rPr>
                <w:rFonts w:hint="eastAsia" w:asciiTheme="majorEastAsia" w:hAnsiTheme="majorEastAsia" w:eastAsiaTheme="majorEastAsia"/>
                <w:b/>
                <w:szCs w:val="21"/>
              </w:rPr>
              <w:t>13.4</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2210201</w:t>
            </w:r>
          </w:p>
        </w:tc>
        <w:tc>
          <w:tcPr>
            <w:tcW w:w="2557" w:type="dxa"/>
            <w:tcBorders>
              <w:top w:val="nil"/>
              <w:left w:val="nil"/>
              <w:bottom w:val="single" w:color="auto" w:sz="4" w:space="0"/>
              <w:right w:val="single" w:color="auto" w:sz="4" w:space="0"/>
            </w:tcBorders>
            <w:shd w:val="clear" w:color="auto" w:fill="auto"/>
            <w:vAlign w:val="bottom"/>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住房公积金</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12.7</w:t>
            </w:r>
          </w:p>
        </w:tc>
        <w:tc>
          <w:tcPr>
            <w:tcW w:w="1114"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12.7</w:t>
            </w:r>
          </w:p>
        </w:tc>
        <w:tc>
          <w:tcPr>
            <w:tcW w:w="872"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313" w:hRule="atLeast"/>
        </w:trPr>
        <w:tc>
          <w:tcPr>
            <w:tcW w:w="2175"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2210203</w:t>
            </w:r>
          </w:p>
        </w:tc>
        <w:tc>
          <w:tcPr>
            <w:tcW w:w="2557" w:type="dxa"/>
            <w:tcBorders>
              <w:top w:val="nil"/>
              <w:left w:val="nil"/>
              <w:bottom w:val="single" w:color="auto" w:sz="4" w:space="0"/>
              <w:right w:val="single" w:color="auto" w:sz="4" w:space="0"/>
            </w:tcBorders>
            <w:shd w:val="clear" w:color="auto" w:fill="auto"/>
            <w:vAlign w:val="bottom"/>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购房补贴</w:t>
            </w:r>
          </w:p>
        </w:tc>
        <w:tc>
          <w:tcPr>
            <w:tcW w:w="872"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0.7</w:t>
            </w:r>
          </w:p>
        </w:tc>
        <w:tc>
          <w:tcPr>
            <w:tcW w:w="1114"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0.7</w:t>
            </w:r>
          </w:p>
        </w:tc>
        <w:tc>
          <w:tcPr>
            <w:tcW w:w="872"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bl>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tbl>
      <w:tblPr>
        <w:tblStyle w:val="10"/>
        <w:tblW w:w="9120" w:type="dxa"/>
        <w:tblInd w:w="93" w:type="dxa"/>
        <w:tblLayout w:type="autofit"/>
        <w:tblCellMar>
          <w:top w:w="0" w:type="dxa"/>
          <w:left w:w="108" w:type="dxa"/>
          <w:bottom w:w="0" w:type="dxa"/>
          <w:right w:w="108" w:type="dxa"/>
        </w:tblCellMar>
      </w:tblPr>
      <w:tblGrid>
        <w:gridCol w:w="2500"/>
        <w:gridCol w:w="2769"/>
        <w:gridCol w:w="851"/>
        <w:gridCol w:w="960"/>
        <w:gridCol w:w="960"/>
        <w:gridCol w:w="1080"/>
      </w:tblGrid>
      <w:tr>
        <w:tblPrEx>
          <w:tblCellMar>
            <w:top w:w="0" w:type="dxa"/>
            <w:left w:w="108" w:type="dxa"/>
            <w:bottom w:w="0" w:type="dxa"/>
            <w:right w:w="108" w:type="dxa"/>
          </w:tblCellMar>
        </w:tblPrEx>
        <w:trPr>
          <w:trHeight w:val="525" w:hRule="atLeast"/>
        </w:trPr>
        <w:tc>
          <w:tcPr>
            <w:tcW w:w="9120" w:type="dxa"/>
            <w:gridSpan w:val="6"/>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kern w:val="0"/>
                <w:sz w:val="44"/>
                <w:szCs w:val="44"/>
              </w:rPr>
            </w:pPr>
            <w:r>
              <w:rPr>
                <w:rFonts w:hint="eastAsia" w:cs="宋体" w:asciiTheme="minorEastAsia" w:hAnsiTheme="minorEastAsia" w:eastAsiaTheme="minorEastAsia"/>
                <w:kern w:val="0"/>
                <w:sz w:val="44"/>
                <w:szCs w:val="44"/>
              </w:rPr>
              <w:t>2017年市级部门一般公共预算支出表</w:t>
            </w:r>
          </w:p>
        </w:tc>
      </w:tr>
      <w:tr>
        <w:tblPrEx>
          <w:tblCellMar>
            <w:top w:w="0" w:type="dxa"/>
            <w:left w:w="108" w:type="dxa"/>
            <w:bottom w:w="0" w:type="dxa"/>
            <w:right w:w="108" w:type="dxa"/>
          </w:tblCellMar>
        </w:tblPrEx>
        <w:trPr>
          <w:trHeight w:val="402" w:hRule="atLeast"/>
        </w:trPr>
        <w:tc>
          <w:tcPr>
            <w:tcW w:w="9120" w:type="dxa"/>
            <w:gridSpan w:val="6"/>
            <w:tcBorders>
              <w:top w:val="nil"/>
              <w:left w:val="nil"/>
              <w:bottom w:val="single" w:color="auto" w:sz="4" w:space="0"/>
              <w:right w:val="nil"/>
            </w:tcBorders>
            <w:shd w:val="clear" w:color="auto" w:fill="auto"/>
            <w:noWrap/>
            <w:vAlign w:val="center"/>
          </w:tcPr>
          <w:p>
            <w:pPr>
              <w:widowControl/>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部门名称：温州市</w:t>
            </w:r>
            <w:r>
              <w:rPr>
                <w:rFonts w:hint="eastAsia" w:cs="宋体" w:asciiTheme="majorEastAsia" w:hAnsiTheme="majorEastAsia" w:eastAsiaTheme="majorEastAsia"/>
                <w:kern w:val="0"/>
                <w:szCs w:val="21"/>
              </w:rPr>
              <w:t xml:space="preserve">红十字会                                              </w:t>
            </w:r>
            <w:r>
              <w:rPr>
                <w:rFonts w:cs="宋体" w:asciiTheme="majorEastAsia" w:hAnsiTheme="majorEastAsia" w:eastAsiaTheme="majorEastAsia"/>
                <w:kern w:val="0"/>
                <w:szCs w:val="21"/>
              </w:rPr>
              <w:t>单位：万元</w:t>
            </w:r>
          </w:p>
        </w:tc>
      </w:tr>
      <w:tr>
        <w:tblPrEx>
          <w:tblCellMar>
            <w:top w:w="0" w:type="dxa"/>
            <w:left w:w="108" w:type="dxa"/>
            <w:bottom w:w="0" w:type="dxa"/>
            <w:right w:w="108" w:type="dxa"/>
          </w:tblCellMar>
        </w:tblPrEx>
        <w:trPr>
          <w:trHeight w:val="360"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科目编码</w:t>
            </w:r>
          </w:p>
        </w:tc>
        <w:tc>
          <w:tcPr>
            <w:tcW w:w="27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科目名称</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总计</w:t>
            </w:r>
          </w:p>
        </w:tc>
        <w:tc>
          <w:tcPr>
            <w:tcW w:w="96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基本支出</w:t>
            </w:r>
          </w:p>
        </w:tc>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项目支出</w:t>
            </w:r>
          </w:p>
        </w:tc>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备注</w:t>
            </w:r>
          </w:p>
        </w:tc>
      </w:tr>
      <w:tr>
        <w:tblPrEx>
          <w:tblCellMar>
            <w:top w:w="0" w:type="dxa"/>
            <w:left w:w="108" w:type="dxa"/>
            <w:bottom w:w="0" w:type="dxa"/>
            <w:right w:w="108" w:type="dxa"/>
          </w:tblCellMar>
        </w:tblPrEx>
        <w:trPr>
          <w:trHeight w:val="600"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276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w:t>
            </w:r>
          </w:p>
        </w:tc>
        <w:tc>
          <w:tcPr>
            <w:tcW w:w="276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p>
        </w:tc>
        <w:tc>
          <w:tcPr>
            <w:tcW w:w="2769"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合计</w:t>
            </w:r>
          </w:p>
        </w:tc>
        <w:tc>
          <w:tcPr>
            <w:tcW w:w="851"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401.59 </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223.03 </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178.56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208</w:t>
            </w:r>
          </w:p>
        </w:tc>
        <w:tc>
          <w:tcPr>
            <w:tcW w:w="2769"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社会保障和就业支出</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378.74</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 xml:space="preserve">223.03 </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 xml:space="preserve">178.56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20816</w:t>
            </w:r>
          </w:p>
        </w:tc>
        <w:tc>
          <w:tcPr>
            <w:tcW w:w="2769"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 xml:space="preserve">  红十字事业</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378.74</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 xml:space="preserve">200.18 </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2081601</w:t>
            </w:r>
          </w:p>
        </w:tc>
        <w:tc>
          <w:tcPr>
            <w:tcW w:w="2769"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行政运行</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200.18</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200.18 </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2081602</w:t>
            </w:r>
          </w:p>
        </w:tc>
        <w:tc>
          <w:tcPr>
            <w:tcW w:w="2769"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一般行政管理事务</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28.56</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28.56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2081699</w:t>
            </w:r>
          </w:p>
        </w:tc>
        <w:tc>
          <w:tcPr>
            <w:tcW w:w="2769"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其他红十字事业支出</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150</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xml:space="preserve">150.00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210</w:t>
            </w:r>
          </w:p>
        </w:tc>
        <w:tc>
          <w:tcPr>
            <w:tcW w:w="2769"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医疗卫生与计划生育支出</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9.45</w:t>
            </w:r>
          </w:p>
        </w:tc>
        <w:tc>
          <w:tcPr>
            <w:tcW w:w="960"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9.45</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21005</w:t>
            </w:r>
          </w:p>
        </w:tc>
        <w:tc>
          <w:tcPr>
            <w:tcW w:w="2769"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 xml:space="preserve">  医疗保障</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9.45</w:t>
            </w:r>
          </w:p>
        </w:tc>
        <w:tc>
          <w:tcPr>
            <w:tcW w:w="960"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9.45</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2100501</w:t>
            </w:r>
          </w:p>
        </w:tc>
        <w:tc>
          <w:tcPr>
            <w:tcW w:w="2769" w:type="dxa"/>
            <w:tcBorders>
              <w:top w:val="nil"/>
              <w:left w:val="nil"/>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行政单位医疗</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9.45</w:t>
            </w:r>
          </w:p>
        </w:tc>
        <w:tc>
          <w:tcPr>
            <w:tcW w:w="960"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9.45</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221</w:t>
            </w:r>
          </w:p>
        </w:tc>
        <w:tc>
          <w:tcPr>
            <w:tcW w:w="2769" w:type="dxa"/>
            <w:tcBorders>
              <w:top w:val="nil"/>
              <w:left w:val="nil"/>
              <w:bottom w:val="single" w:color="auto" w:sz="4" w:space="0"/>
              <w:right w:val="single" w:color="auto" w:sz="4" w:space="0"/>
            </w:tcBorders>
            <w:shd w:val="clear" w:color="auto" w:fill="auto"/>
            <w:vAlign w:val="bottom"/>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住房保障支出</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13.4</w:t>
            </w:r>
          </w:p>
        </w:tc>
        <w:tc>
          <w:tcPr>
            <w:tcW w:w="960"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13.4</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22102</w:t>
            </w:r>
          </w:p>
        </w:tc>
        <w:tc>
          <w:tcPr>
            <w:tcW w:w="2769" w:type="dxa"/>
            <w:tcBorders>
              <w:top w:val="nil"/>
              <w:left w:val="nil"/>
              <w:bottom w:val="single" w:color="auto" w:sz="4" w:space="0"/>
              <w:right w:val="single" w:color="auto" w:sz="4" w:space="0"/>
            </w:tcBorders>
            <w:shd w:val="clear" w:color="auto" w:fill="auto"/>
            <w:vAlign w:val="bottom"/>
          </w:tcPr>
          <w:p>
            <w:pPr>
              <w:rPr>
                <w:rFonts w:cs="宋体" w:asciiTheme="majorEastAsia" w:hAnsiTheme="majorEastAsia" w:eastAsiaTheme="majorEastAsia"/>
                <w:b/>
                <w:bCs/>
                <w:szCs w:val="21"/>
              </w:rPr>
            </w:pPr>
            <w:r>
              <w:rPr>
                <w:rFonts w:hint="eastAsia" w:asciiTheme="majorEastAsia" w:hAnsiTheme="majorEastAsia" w:eastAsiaTheme="majorEastAsia"/>
                <w:b/>
                <w:bCs/>
                <w:szCs w:val="21"/>
              </w:rPr>
              <w:t xml:space="preserve">  住房改革支出</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13.4</w:t>
            </w:r>
          </w:p>
        </w:tc>
        <w:tc>
          <w:tcPr>
            <w:tcW w:w="960"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13.4</w:t>
            </w:r>
          </w:p>
        </w:tc>
        <w:tc>
          <w:tcPr>
            <w:tcW w:w="960" w:type="dxa"/>
            <w:tcBorders>
              <w:top w:val="nil"/>
              <w:left w:val="nil"/>
              <w:bottom w:val="single" w:color="auto" w:sz="4" w:space="0"/>
              <w:right w:val="single" w:color="auto" w:sz="4" w:space="0"/>
            </w:tcBorders>
            <w:shd w:val="clear" w:color="auto" w:fill="auto"/>
            <w:noWrap/>
            <w:vAlign w:val="center"/>
          </w:tcPr>
          <w:p>
            <w:pPr>
              <w:jc w:val="right"/>
              <w:rPr>
                <w:rFonts w:cs="宋体" w:asciiTheme="majorEastAsia" w:hAnsiTheme="majorEastAsia" w:eastAsiaTheme="majorEastAsia"/>
                <w:b/>
                <w:bCs/>
                <w:szCs w:val="21"/>
              </w:rPr>
            </w:pPr>
            <w:r>
              <w:rPr>
                <w:rFonts w:hint="eastAsia" w:asciiTheme="majorEastAsia" w:hAnsiTheme="majorEastAsia" w:eastAsiaTheme="majorEastAsia"/>
                <w:b/>
                <w:bCs/>
                <w:szCs w:val="21"/>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2210201</w:t>
            </w:r>
          </w:p>
        </w:tc>
        <w:tc>
          <w:tcPr>
            <w:tcW w:w="2769" w:type="dxa"/>
            <w:tcBorders>
              <w:top w:val="nil"/>
              <w:left w:val="nil"/>
              <w:bottom w:val="single" w:color="auto" w:sz="4" w:space="0"/>
              <w:right w:val="single" w:color="auto" w:sz="4" w:space="0"/>
            </w:tcBorders>
            <w:shd w:val="clear" w:color="auto" w:fill="auto"/>
            <w:vAlign w:val="bottom"/>
          </w:tcPr>
          <w:p>
            <w:pPr>
              <w:rPr>
                <w:rFonts w:cs="宋体" w:asciiTheme="majorEastAsia" w:hAnsiTheme="majorEastAsia" w:eastAsiaTheme="majorEastAsia"/>
                <w:szCs w:val="21"/>
              </w:rPr>
            </w:pPr>
            <w:r>
              <w:rPr>
                <w:rFonts w:hint="eastAsia" w:asciiTheme="majorEastAsia" w:hAnsiTheme="majorEastAsia" w:eastAsiaTheme="majorEastAsia"/>
                <w:szCs w:val="21"/>
              </w:rPr>
              <w:t xml:space="preserve">    住房公积金</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12.7</w:t>
            </w:r>
          </w:p>
        </w:tc>
        <w:tc>
          <w:tcPr>
            <w:tcW w:w="960"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12.7</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CellMar>
            <w:top w:w="0" w:type="dxa"/>
            <w:left w:w="108" w:type="dxa"/>
            <w:bottom w:w="0" w:type="dxa"/>
            <w:right w:w="108" w:type="dxa"/>
          </w:tblCellMar>
        </w:tblPrEx>
        <w:trPr>
          <w:trHeight w:val="402"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2210203</w:t>
            </w:r>
          </w:p>
        </w:tc>
        <w:tc>
          <w:tcPr>
            <w:tcW w:w="2769" w:type="dxa"/>
            <w:tcBorders>
              <w:top w:val="nil"/>
              <w:left w:val="nil"/>
              <w:bottom w:val="single" w:color="auto" w:sz="4" w:space="0"/>
              <w:right w:val="single" w:color="auto" w:sz="4" w:space="0"/>
            </w:tcBorders>
            <w:shd w:val="clear" w:color="auto" w:fill="auto"/>
            <w:vAlign w:val="center"/>
          </w:tcPr>
          <w:p>
            <w:pPr>
              <w:jc w:val="left"/>
              <w:rPr>
                <w:rFonts w:cs="宋体" w:asciiTheme="majorEastAsia" w:hAnsiTheme="majorEastAsia" w:eastAsiaTheme="majorEastAsia"/>
                <w:szCs w:val="21"/>
              </w:rPr>
            </w:pPr>
            <w:r>
              <w:rPr>
                <w:rFonts w:hint="eastAsia" w:cs="宋体" w:asciiTheme="majorEastAsia" w:hAnsiTheme="majorEastAsia" w:eastAsiaTheme="majorEastAsia"/>
                <w:kern w:val="0"/>
                <w:szCs w:val="21"/>
              </w:rPr>
              <w:t xml:space="preserve">    </w:t>
            </w:r>
            <w:r>
              <w:rPr>
                <w:rFonts w:hint="eastAsia" w:asciiTheme="majorEastAsia" w:hAnsiTheme="majorEastAsia" w:eastAsiaTheme="majorEastAsia"/>
                <w:szCs w:val="21"/>
              </w:rPr>
              <w:t>购房补贴</w:t>
            </w:r>
          </w:p>
        </w:tc>
        <w:tc>
          <w:tcPr>
            <w:tcW w:w="851"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0.7</w:t>
            </w:r>
          </w:p>
        </w:tc>
        <w:tc>
          <w:tcPr>
            <w:tcW w:w="960" w:type="dxa"/>
            <w:tcBorders>
              <w:top w:val="nil"/>
              <w:left w:val="nil"/>
              <w:bottom w:val="single" w:color="auto" w:sz="4" w:space="0"/>
              <w:right w:val="single" w:color="auto" w:sz="4" w:space="0"/>
            </w:tcBorders>
            <w:shd w:val="clear" w:color="auto" w:fill="auto"/>
            <w:noWrap/>
            <w:vAlign w:val="bottom"/>
          </w:tcPr>
          <w:p>
            <w:pPr>
              <w:jc w:val="right"/>
              <w:rPr>
                <w:rFonts w:cs="宋体" w:asciiTheme="majorEastAsia" w:hAnsiTheme="majorEastAsia" w:eastAsiaTheme="majorEastAsia"/>
                <w:szCs w:val="21"/>
              </w:rPr>
            </w:pPr>
            <w:r>
              <w:rPr>
                <w:rFonts w:hint="eastAsia" w:asciiTheme="majorEastAsia" w:hAnsiTheme="majorEastAsia" w:eastAsiaTheme="majorEastAsia"/>
                <w:szCs w:val="21"/>
              </w:rPr>
              <w:t>0.7</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bl>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tbl>
      <w:tblPr>
        <w:tblStyle w:val="10"/>
        <w:tblW w:w="9180" w:type="dxa"/>
        <w:tblInd w:w="0" w:type="dxa"/>
        <w:tblLayout w:type="autofit"/>
        <w:tblCellMar>
          <w:top w:w="0" w:type="dxa"/>
          <w:left w:w="108" w:type="dxa"/>
          <w:bottom w:w="0" w:type="dxa"/>
          <w:right w:w="108" w:type="dxa"/>
        </w:tblCellMar>
      </w:tblPr>
      <w:tblGrid>
        <w:gridCol w:w="108"/>
        <w:gridCol w:w="2292"/>
        <w:gridCol w:w="118"/>
        <w:gridCol w:w="1843"/>
        <w:gridCol w:w="1276"/>
        <w:gridCol w:w="1182"/>
        <w:gridCol w:w="1227"/>
        <w:gridCol w:w="1134"/>
      </w:tblGrid>
      <w:tr>
        <w:tblPrEx>
          <w:tblCellMar>
            <w:top w:w="0" w:type="dxa"/>
            <w:left w:w="108" w:type="dxa"/>
            <w:bottom w:w="0" w:type="dxa"/>
            <w:right w:w="108" w:type="dxa"/>
          </w:tblCellMar>
        </w:tblPrEx>
        <w:trPr>
          <w:gridBefore w:val="1"/>
          <w:wBefore w:w="108" w:type="dxa"/>
          <w:trHeight w:val="525" w:hRule="atLeast"/>
        </w:trPr>
        <w:tc>
          <w:tcPr>
            <w:tcW w:w="9072" w:type="dxa"/>
            <w:gridSpan w:val="7"/>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kern w:val="0"/>
                <w:sz w:val="44"/>
                <w:szCs w:val="44"/>
              </w:rPr>
            </w:pPr>
            <w:r>
              <w:rPr>
                <w:rFonts w:hint="eastAsia" w:cs="宋体" w:asciiTheme="minorEastAsia" w:hAnsiTheme="minorEastAsia" w:eastAsiaTheme="minorEastAsia"/>
                <w:kern w:val="0"/>
                <w:sz w:val="44"/>
                <w:szCs w:val="44"/>
              </w:rPr>
              <w:t>2017年市级部门政府性基金预算支出表</w:t>
            </w:r>
          </w:p>
        </w:tc>
      </w:tr>
      <w:tr>
        <w:tblPrEx>
          <w:tblCellMar>
            <w:top w:w="0" w:type="dxa"/>
            <w:left w:w="108" w:type="dxa"/>
            <w:bottom w:w="0" w:type="dxa"/>
            <w:right w:w="108" w:type="dxa"/>
          </w:tblCellMar>
        </w:tblPrEx>
        <w:trPr>
          <w:gridBefore w:val="1"/>
          <w:wBefore w:w="108" w:type="dxa"/>
          <w:trHeight w:val="402" w:hRule="atLeast"/>
        </w:trPr>
        <w:tc>
          <w:tcPr>
            <w:tcW w:w="2410" w:type="dxa"/>
            <w:gridSpan w:val="2"/>
            <w:tcBorders>
              <w:top w:val="nil"/>
              <w:left w:val="nil"/>
              <w:bottom w:val="single" w:color="auto" w:sz="4" w:space="0"/>
              <w:right w:val="nil"/>
            </w:tcBorders>
            <w:shd w:val="clear" w:color="auto" w:fill="auto"/>
            <w:noWrap/>
            <w:vAlign w:val="center"/>
          </w:tcPr>
          <w:p>
            <w:pPr>
              <w:widowControl/>
              <w:jc w:val="left"/>
              <w:rPr>
                <w:rFonts w:ascii="方正书宋_GBK" w:hAnsi="方正书宋_GBK" w:cs="宋体"/>
                <w:kern w:val="0"/>
                <w:sz w:val="20"/>
              </w:rPr>
            </w:pPr>
            <w:r>
              <w:rPr>
                <w:rFonts w:ascii="方正书宋_GBK" w:hAnsi="方正书宋_GBK" w:cs="宋体"/>
                <w:kern w:val="0"/>
                <w:sz w:val="20"/>
              </w:rPr>
              <w:t>部门名称：</w:t>
            </w:r>
            <w:r>
              <w:rPr>
                <w:rFonts w:ascii="方正书宋_GBK" w:hAnsi="方正书宋_GBK" w:cs="宋体"/>
                <w:kern w:val="0"/>
                <w:sz w:val="18"/>
                <w:szCs w:val="18"/>
              </w:rPr>
              <w:t>温州市</w:t>
            </w:r>
            <w:r>
              <w:rPr>
                <w:rFonts w:hint="eastAsia" w:ascii="方正书宋_GBK" w:hAnsi="方正书宋_GBK" w:cs="宋体"/>
                <w:kern w:val="0"/>
                <w:sz w:val="18"/>
                <w:szCs w:val="18"/>
              </w:rPr>
              <w:t>红十字会</w:t>
            </w:r>
          </w:p>
        </w:tc>
        <w:tc>
          <w:tcPr>
            <w:tcW w:w="1843"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1276"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1182"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2361" w:type="dxa"/>
            <w:gridSpan w:val="2"/>
            <w:tcBorders>
              <w:top w:val="nil"/>
              <w:left w:val="nil"/>
              <w:bottom w:val="single" w:color="auto" w:sz="4" w:space="0"/>
              <w:right w:val="nil"/>
            </w:tcBorders>
            <w:shd w:val="clear" w:color="auto" w:fill="auto"/>
            <w:noWrap/>
            <w:vAlign w:val="center"/>
          </w:tcPr>
          <w:p>
            <w:pPr>
              <w:widowControl/>
              <w:jc w:val="center"/>
              <w:rPr>
                <w:rFonts w:ascii="方正书宋_GBK" w:hAnsi="方正书宋_GBK" w:cs="宋体"/>
                <w:kern w:val="0"/>
                <w:sz w:val="20"/>
              </w:rPr>
            </w:pPr>
            <w:r>
              <w:rPr>
                <w:rFonts w:ascii="方正书宋_GBK" w:hAnsi="方正书宋_GBK" w:cs="宋体"/>
                <w:kern w:val="0"/>
                <w:sz w:val="20"/>
              </w:rPr>
              <w:t>单位：万元</w:t>
            </w:r>
          </w:p>
        </w:tc>
      </w:tr>
      <w:tr>
        <w:tblPrEx>
          <w:tblCellMar>
            <w:top w:w="0" w:type="dxa"/>
            <w:left w:w="108" w:type="dxa"/>
            <w:bottom w:w="0" w:type="dxa"/>
            <w:right w:w="108" w:type="dxa"/>
          </w:tblCellMar>
        </w:tblPrEx>
        <w:trPr>
          <w:gridBefore w:val="1"/>
          <w:wBefore w:w="108" w:type="dxa"/>
          <w:trHeight w:val="360" w:hRule="atLeast"/>
        </w:trPr>
        <w:tc>
          <w:tcPr>
            <w:tcW w:w="24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科目编码</w:t>
            </w:r>
          </w:p>
        </w:tc>
        <w:tc>
          <w:tcPr>
            <w:tcW w:w="18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总计</w:t>
            </w:r>
          </w:p>
        </w:tc>
        <w:tc>
          <w:tcPr>
            <w:tcW w:w="118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基本支出</w:t>
            </w:r>
          </w:p>
        </w:tc>
        <w:tc>
          <w:tcPr>
            <w:tcW w:w="12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项目支出</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gridBefore w:val="1"/>
          <w:wBefore w:w="108" w:type="dxa"/>
          <w:trHeight w:val="600" w:hRule="atLeast"/>
        </w:trPr>
        <w:tc>
          <w:tcPr>
            <w:tcW w:w="24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18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12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rPr>
          <w:gridBefore w:val="1"/>
          <w:wBefore w:w="108" w:type="dxa"/>
          <w:trHeight w:val="402" w:hRule="atLeast"/>
        </w:trPr>
        <w:tc>
          <w:tcPr>
            <w:tcW w:w="241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rPr>
            </w:pPr>
            <w:r>
              <w:rPr>
                <w:kern w:val="0"/>
                <w:sz w:val="20"/>
              </w:rPr>
              <w:t>**</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kern w:val="0"/>
                <w:sz w:val="20"/>
              </w:rPr>
            </w:pPr>
            <w:r>
              <w:rPr>
                <w:kern w:val="0"/>
                <w:sz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w:t>
            </w:r>
          </w:p>
        </w:tc>
        <w:tc>
          <w:tcPr>
            <w:tcW w:w="1182" w:type="dxa"/>
            <w:tcBorders>
              <w:top w:val="nil"/>
              <w:left w:val="nil"/>
              <w:bottom w:val="single" w:color="auto" w:sz="4" w:space="0"/>
              <w:right w:val="single" w:color="auto" w:sz="4" w:space="0"/>
            </w:tcBorders>
            <w:shd w:val="clear" w:color="auto" w:fill="auto"/>
            <w:vAlign w:val="center"/>
          </w:tcPr>
          <w:p>
            <w:pPr>
              <w:widowControl/>
              <w:jc w:val="center"/>
              <w:rPr>
                <w:kern w:val="0"/>
                <w:sz w:val="20"/>
              </w:rPr>
            </w:pPr>
            <w:r>
              <w:rPr>
                <w:kern w:val="0"/>
                <w:sz w:val="20"/>
              </w:rPr>
              <w:t>2</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7</w:t>
            </w:r>
          </w:p>
        </w:tc>
      </w:tr>
      <w:tr>
        <w:trPr>
          <w:gridBefore w:val="1"/>
          <w:wBefore w:w="108" w:type="dxa"/>
          <w:trHeight w:val="240" w:hRule="atLeast"/>
        </w:trPr>
        <w:tc>
          <w:tcPr>
            <w:tcW w:w="241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合计</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　</w:t>
            </w:r>
          </w:p>
        </w:tc>
        <w:tc>
          <w:tcPr>
            <w:tcW w:w="118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　</w:t>
            </w:r>
          </w:p>
        </w:tc>
        <w:tc>
          <w:tcPr>
            <w:tcW w:w="12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　</w:t>
            </w:r>
          </w:p>
        </w:tc>
      </w:tr>
      <w:tr>
        <w:trPr>
          <w:trHeight w:val="480" w:hRule="atLeast"/>
        </w:trPr>
        <w:tc>
          <w:tcPr>
            <w:tcW w:w="9180" w:type="dxa"/>
            <w:gridSpan w:val="8"/>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kern w:val="0"/>
                <w:sz w:val="44"/>
                <w:szCs w:val="44"/>
              </w:rPr>
            </w:pPr>
          </w:p>
          <w:p>
            <w:pPr>
              <w:widowControl/>
              <w:jc w:val="center"/>
              <w:rPr>
                <w:rFonts w:cs="宋体" w:asciiTheme="minorEastAsia" w:hAnsiTheme="minorEastAsia" w:eastAsiaTheme="minorEastAsia"/>
                <w:kern w:val="0"/>
                <w:sz w:val="44"/>
                <w:szCs w:val="44"/>
              </w:rPr>
            </w:pPr>
            <w:r>
              <w:rPr>
                <w:rFonts w:hint="eastAsia" w:cs="宋体" w:asciiTheme="minorEastAsia" w:hAnsiTheme="minorEastAsia" w:eastAsiaTheme="minorEastAsia"/>
                <w:kern w:val="0"/>
                <w:sz w:val="44"/>
                <w:szCs w:val="44"/>
              </w:rPr>
              <w:t>2017年市级部门一般公共预算基本支出表</w:t>
            </w:r>
          </w:p>
        </w:tc>
      </w:tr>
      <w:tr>
        <w:trPr>
          <w:trHeight w:val="402" w:hRule="atLeast"/>
        </w:trPr>
        <w:tc>
          <w:tcPr>
            <w:tcW w:w="2400" w:type="dxa"/>
            <w:gridSpan w:val="2"/>
            <w:tcBorders>
              <w:top w:val="nil"/>
              <w:left w:val="nil"/>
              <w:bottom w:val="single" w:color="auto" w:sz="4" w:space="0"/>
              <w:right w:val="nil"/>
            </w:tcBorders>
            <w:shd w:val="clear" w:color="auto" w:fill="auto"/>
            <w:noWrap/>
            <w:vAlign w:val="center"/>
          </w:tcPr>
          <w:p>
            <w:pPr>
              <w:widowControl/>
              <w:jc w:val="left"/>
              <w:rPr>
                <w:rFonts w:ascii="方正书宋_GBK" w:hAnsi="方正书宋_GBK" w:cs="宋体"/>
                <w:kern w:val="0"/>
                <w:sz w:val="20"/>
              </w:rPr>
            </w:pPr>
            <w:r>
              <w:rPr>
                <w:rFonts w:ascii="方正书宋_GBK" w:hAnsi="方正书宋_GBK" w:cs="宋体"/>
                <w:kern w:val="0"/>
                <w:sz w:val="20"/>
              </w:rPr>
              <w:t>部门名称：</w:t>
            </w:r>
            <w:r>
              <w:rPr>
                <w:rFonts w:ascii="方正书宋_GBK" w:hAnsi="方正书宋_GBK" w:cs="宋体"/>
                <w:kern w:val="0"/>
                <w:sz w:val="18"/>
                <w:szCs w:val="18"/>
              </w:rPr>
              <w:t>温州市</w:t>
            </w:r>
            <w:r>
              <w:rPr>
                <w:rFonts w:hint="eastAsia" w:ascii="方正书宋_GBK" w:hAnsi="方正书宋_GBK" w:cs="宋体"/>
                <w:kern w:val="0"/>
                <w:sz w:val="18"/>
                <w:szCs w:val="18"/>
              </w:rPr>
              <w:t>红十字会</w:t>
            </w:r>
          </w:p>
        </w:tc>
        <w:tc>
          <w:tcPr>
            <w:tcW w:w="4419" w:type="dxa"/>
            <w:gridSpan w:val="4"/>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2361" w:type="dxa"/>
            <w:gridSpan w:val="2"/>
            <w:tcBorders>
              <w:top w:val="nil"/>
              <w:left w:val="nil"/>
              <w:bottom w:val="nil"/>
              <w:right w:val="nil"/>
            </w:tcBorders>
            <w:shd w:val="clear" w:color="auto" w:fill="auto"/>
            <w:noWrap/>
            <w:vAlign w:val="center"/>
          </w:tcPr>
          <w:p>
            <w:pPr>
              <w:widowControl/>
              <w:jc w:val="right"/>
              <w:rPr>
                <w:rFonts w:ascii="方正书宋_GBK" w:hAnsi="方正书宋_GBK" w:cs="宋体"/>
                <w:kern w:val="0"/>
                <w:sz w:val="20"/>
              </w:rPr>
            </w:pPr>
            <w:r>
              <w:rPr>
                <w:rFonts w:ascii="方正书宋_GBK" w:hAnsi="方正书宋_GBK" w:cs="宋体"/>
                <w:kern w:val="0"/>
                <w:sz w:val="20"/>
              </w:rPr>
              <w:t>单位：万元</w:t>
            </w:r>
          </w:p>
        </w:tc>
      </w:tr>
      <w:tr>
        <w:tblPrEx>
          <w:tblCellMar>
            <w:top w:w="0" w:type="dxa"/>
            <w:left w:w="108" w:type="dxa"/>
            <w:bottom w:w="0" w:type="dxa"/>
            <w:right w:w="108" w:type="dxa"/>
          </w:tblCellMar>
        </w:tblPrEx>
        <w:trPr>
          <w:trHeight w:val="402" w:hRule="atLeast"/>
        </w:trPr>
        <w:tc>
          <w:tcPr>
            <w:tcW w:w="681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经济分类科目</w:t>
            </w:r>
          </w:p>
        </w:tc>
        <w:tc>
          <w:tcPr>
            <w:tcW w:w="23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金额</w:t>
            </w:r>
          </w:p>
        </w:tc>
      </w:tr>
      <w:tr>
        <w:tblPrEx>
          <w:tblCellMar>
            <w:top w:w="0" w:type="dxa"/>
            <w:left w:w="108" w:type="dxa"/>
            <w:bottom w:w="0" w:type="dxa"/>
            <w:right w:w="108" w:type="dxa"/>
          </w:tblCellMar>
        </w:tblPrEx>
        <w:trPr>
          <w:trHeight w:val="840" w:hRule="atLeast"/>
        </w:trPr>
        <w:tc>
          <w:tcPr>
            <w:tcW w:w="240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科目编码</w:t>
            </w:r>
          </w:p>
        </w:tc>
        <w:tc>
          <w:tcPr>
            <w:tcW w:w="4419" w:type="dxa"/>
            <w:gridSpan w:val="4"/>
            <w:tcBorders>
              <w:top w:val="nil"/>
              <w:left w:val="nil"/>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科目名称</w:t>
            </w:r>
          </w:p>
        </w:tc>
        <w:tc>
          <w:tcPr>
            <w:tcW w:w="23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18"/>
                <w:szCs w:val="18"/>
              </w:rPr>
            </w:pPr>
            <w:r>
              <w:rPr>
                <w:rFonts w:hint="eastAsia" w:ascii="宋体" w:hAnsi="宋体" w:cs="宋体"/>
                <w:b/>
                <w:kern w:val="0"/>
                <w:sz w:val="18"/>
                <w:szCs w:val="18"/>
              </w:rPr>
              <w:t>　</w:t>
            </w:r>
          </w:p>
        </w:tc>
        <w:tc>
          <w:tcPr>
            <w:tcW w:w="4419" w:type="dxa"/>
            <w:gridSpan w:val="4"/>
            <w:tcBorders>
              <w:top w:val="nil"/>
              <w:left w:val="nil"/>
              <w:bottom w:val="single" w:color="auto" w:sz="4" w:space="0"/>
              <w:right w:val="single" w:color="auto" w:sz="4" w:space="0"/>
            </w:tcBorders>
            <w:shd w:val="clear" w:color="auto" w:fill="auto"/>
            <w:vAlign w:val="center"/>
          </w:tcPr>
          <w:p>
            <w:pPr>
              <w:widowControl/>
              <w:jc w:val="left"/>
              <w:rPr>
                <w:rFonts w:ascii="方正书宋_GBK" w:hAnsi="方正书宋_GBK" w:cs="宋体"/>
                <w:b/>
                <w:kern w:val="0"/>
                <w:sz w:val="20"/>
              </w:rPr>
            </w:pPr>
            <w:r>
              <w:rPr>
                <w:rFonts w:ascii="方正书宋_GBK" w:hAnsi="方正书宋_GBK" w:cs="宋体"/>
                <w:b/>
                <w:kern w:val="0"/>
                <w:sz w:val="20"/>
              </w:rPr>
              <w:t>合计</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b/>
                <w:sz w:val="20"/>
              </w:rPr>
            </w:pPr>
            <w:r>
              <w:rPr>
                <w:rFonts w:ascii="方正书宋_GBK" w:hAnsi="方正书宋_GBK"/>
                <w:b/>
                <w:sz w:val="20"/>
              </w:rPr>
              <w:t>223.03</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b/>
                <w:bCs/>
                <w:sz w:val="18"/>
                <w:szCs w:val="18"/>
              </w:rPr>
            </w:pPr>
            <w:r>
              <w:rPr>
                <w:rFonts w:hint="eastAsia"/>
                <w:b/>
                <w:bCs/>
                <w:sz w:val="18"/>
                <w:szCs w:val="18"/>
              </w:rPr>
              <w:t>301</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宋体" w:hAnsi="宋体" w:cs="宋体"/>
                <w:b/>
                <w:bCs/>
                <w:sz w:val="20"/>
              </w:rPr>
            </w:pPr>
            <w:r>
              <w:rPr>
                <w:rFonts w:hint="eastAsia"/>
                <w:b/>
                <w:bCs/>
                <w:sz w:val="20"/>
              </w:rPr>
              <w:t>工资福利支出</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b/>
                <w:bCs/>
                <w:sz w:val="20"/>
              </w:rPr>
            </w:pPr>
            <w:r>
              <w:rPr>
                <w:rFonts w:ascii="方正书宋_GBK" w:hAnsi="方正书宋_GBK"/>
                <w:b/>
                <w:bCs/>
                <w:sz w:val="20"/>
              </w:rPr>
              <w:t>149.73</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30101</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基本工资</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31.7</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30102</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津贴补贴</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85.84</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30104</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社会保障缴费</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1.33</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30108</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机关事业单位基本养老保险费</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22.04</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30109</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职业年金缴费</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8.82</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b/>
                <w:bCs/>
                <w:sz w:val="18"/>
                <w:szCs w:val="18"/>
              </w:rPr>
            </w:pPr>
            <w:r>
              <w:rPr>
                <w:rFonts w:hint="eastAsia"/>
                <w:b/>
                <w:bCs/>
                <w:sz w:val="18"/>
                <w:szCs w:val="18"/>
              </w:rPr>
              <w:t>302</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宋体" w:hAnsi="宋体" w:cs="宋体"/>
                <w:b/>
                <w:bCs/>
                <w:sz w:val="20"/>
              </w:rPr>
            </w:pPr>
            <w:r>
              <w:rPr>
                <w:rFonts w:hint="eastAsia"/>
                <w:b/>
                <w:bCs/>
                <w:sz w:val="20"/>
              </w:rPr>
              <w:t>商品和服务支出</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b/>
                <w:bCs/>
                <w:sz w:val="20"/>
              </w:rPr>
            </w:pPr>
            <w:r>
              <w:rPr>
                <w:rFonts w:ascii="方正书宋_GBK" w:hAnsi="方正书宋_GBK"/>
                <w:b/>
                <w:bCs/>
                <w:sz w:val="20"/>
              </w:rPr>
              <w:t>49.37</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30212</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因公出国（境）费用</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5</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30215</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会议费</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2</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30216</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培训费</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3</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30217</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公务接待费</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1</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30239</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其他交通费用</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13.13</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30299</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其他商品和服务支出</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25.24</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b/>
                <w:bCs/>
                <w:sz w:val="18"/>
                <w:szCs w:val="18"/>
              </w:rPr>
            </w:pPr>
            <w:r>
              <w:rPr>
                <w:rFonts w:hint="eastAsia"/>
                <w:b/>
                <w:bCs/>
                <w:sz w:val="18"/>
                <w:szCs w:val="18"/>
              </w:rPr>
              <w:t>303</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b/>
                <w:bCs/>
                <w:sz w:val="20"/>
              </w:rPr>
            </w:pPr>
            <w:r>
              <w:rPr>
                <w:rFonts w:ascii="方正书宋_GBK" w:hAnsi="方正书宋_GBK"/>
                <w:b/>
                <w:bCs/>
                <w:sz w:val="20"/>
              </w:rPr>
              <w:t>对个人和家庭的补助</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宋体" w:hAnsi="宋体" w:cs="宋体"/>
                <w:b/>
                <w:bCs/>
                <w:sz w:val="20"/>
              </w:rPr>
            </w:pPr>
            <w:r>
              <w:rPr>
                <w:rFonts w:hint="eastAsia"/>
                <w:b/>
                <w:bCs/>
                <w:sz w:val="20"/>
              </w:rPr>
              <w:t>23.93</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30302</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退休费</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1.08</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30307</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医疗费</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9.45</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30311</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住房公积金</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12.7</w:t>
            </w:r>
          </w:p>
        </w:tc>
      </w:tr>
      <w:tr>
        <w:tblPrEx>
          <w:tblCellMar>
            <w:top w:w="0" w:type="dxa"/>
            <w:left w:w="108" w:type="dxa"/>
            <w:bottom w:w="0" w:type="dxa"/>
            <w:right w:w="108" w:type="dxa"/>
          </w:tblCellMar>
        </w:tblPrEx>
        <w:trPr>
          <w:trHeight w:val="360" w:hRule="atLeast"/>
        </w:trPr>
        <w:tc>
          <w:tcPr>
            <w:tcW w:w="2400" w:type="dxa"/>
            <w:gridSpan w:val="2"/>
            <w:tcBorders>
              <w:top w:val="nil"/>
              <w:left w:val="single" w:color="auto" w:sz="4" w:space="0"/>
              <w:bottom w:val="single" w:color="auto" w:sz="4" w:space="0"/>
              <w:right w:val="single" w:color="auto" w:sz="4" w:space="0"/>
            </w:tcBorders>
            <w:shd w:val="clear" w:color="auto" w:fill="auto"/>
            <w:noWrap/>
            <w:vAlign w:val="bottom"/>
          </w:tcPr>
          <w:p>
            <w:pPr>
              <w:rPr>
                <w:rFonts w:ascii="宋体" w:hAnsi="宋体" w:cs="宋体"/>
                <w:sz w:val="18"/>
                <w:szCs w:val="18"/>
              </w:rPr>
            </w:pPr>
            <w:r>
              <w:rPr>
                <w:rFonts w:hint="eastAsia"/>
                <w:sz w:val="18"/>
                <w:szCs w:val="18"/>
              </w:rPr>
              <w:t>30313</w:t>
            </w:r>
          </w:p>
        </w:tc>
        <w:tc>
          <w:tcPr>
            <w:tcW w:w="4419" w:type="dxa"/>
            <w:gridSpan w:val="4"/>
            <w:tcBorders>
              <w:top w:val="nil"/>
              <w:left w:val="nil"/>
              <w:bottom w:val="single" w:color="auto" w:sz="4" w:space="0"/>
              <w:right w:val="single" w:color="auto" w:sz="4" w:space="0"/>
            </w:tcBorders>
            <w:shd w:val="clear" w:color="auto" w:fill="auto"/>
            <w:vAlign w:val="bottom"/>
          </w:tcPr>
          <w:p>
            <w:pPr>
              <w:rPr>
                <w:rFonts w:ascii="方正书宋_GBK" w:hAnsi="方正书宋_GBK" w:cs="宋体"/>
                <w:sz w:val="20"/>
              </w:rPr>
            </w:pPr>
            <w:r>
              <w:rPr>
                <w:rFonts w:ascii="方正书宋_GBK" w:hAnsi="方正书宋_GBK"/>
                <w:sz w:val="20"/>
              </w:rPr>
              <w:t xml:space="preserve">  </w:t>
            </w:r>
            <w:r>
              <w:rPr>
                <w:rFonts w:hint="eastAsia"/>
                <w:sz w:val="20"/>
              </w:rPr>
              <w:t>购房补贴</w:t>
            </w:r>
          </w:p>
        </w:tc>
        <w:tc>
          <w:tcPr>
            <w:tcW w:w="2361"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cs="宋体"/>
                <w:sz w:val="20"/>
              </w:rPr>
            </w:pPr>
            <w:r>
              <w:rPr>
                <w:rFonts w:ascii="方正书宋_GBK" w:hAnsi="方正书宋_GBK"/>
                <w:sz w:val="20"/>
              </w:rPr>
              <w:t>0.7</w:t>
            </w:r>
          </w:p>
        </w:tc>
      </w:tr>
    </w:tbl>
    <w:p>
      <w:pPr>
        <w:widowControl/>
        <w:spacing w:line="540" w:lineRule="exact"/>
        <w:ind w:right="632"/>
        <w:jc w:val="left"/>
        <w:rPr>
          <w:rFonts w:ascii="仿宋_GB2312" w:hAnsi="宋体" w:eastAsia="仿宋_GB2312"/>
          <w:bCs/>
          <w:spacing w:val="-2"/>
          <w:sz w:val="32"/>
          <w:szCs w:val="32"/>
        </w:rPr>
        <w:sectPr>
          <w:headerReference r:id="rId4" w:type="first"/>
          <w:headerReference r:id="rId3" w:type="default"/>
          <w:footerReference r:id="rId5" w:type="default"/>
          <w:footerReference r:id="rId6" w:type="even"/>
          <w:pgSz w:w="11906" w:h="16838"/>
          <w:pgMar w:top="1701" w:right="1474" w:bottom="1418" w:left="1474" w:header="1474" w:footer="1588" w:gutter="0"/>
          <w:cols w:space="720" w:num="1"/>
          <w:titlePg/>
          <w:docGrid w:linePitch="602" w:charSpace="0"/>
        </w:sectPr>
      </w:pPr>
    </w:p>
    <w:tbl>
      <w:tblPr>
        <w:tblStyle w:val="10"/>
        <w:tblW w:w="14046" w:type="dxa"/>
        <w:tblInd w:w="-34" w:type="dxa"/>
        <w:tblLayout w:type="autofit"/>
        <w:tblCellMar>
          <w:top w:w="0" w:type="dxa"/>
          <w:left w:w="108" w:type="dxa"/>
          <w:bottom w:w="0" w:type="dxa"/>
          <w:right w:w="108" w:type="dxa"/>
        </w:tblCellMar>
      </w:tblPr>
      <w:tblGrid>
        <w:gridCol w:w="2558"/>
        <w:gridCol w:w="816"/>
        <w:gridCol w:w="635"/>
        <w:gridCol w:w="1297"/>
        <w:gridCol w:w="894"/>
        <w:gridCol w:w="894"/>
        <w:gridCol w:w="770"/>
        <w:gridCol w:w="1026"/>
        <w:gridCol w:w="849"/>
        <w:gridCol w:w="770"/>
        <w:gridCol w:w="747"/>
        <w:gridCol w:w="905"/>
        <w:gridCol w:w="1885"/>
      </w:tblGrid>
      <w:tr>
        <w:tblPrEx>
          <w:tblCellMar>
            <w:top w:w="0" w:type="dxa"/>
            <w:left w:w="108" w:type="dxa"/>
            <w:bottom w:w="0" w:type="dxa"/>
            <w:right w:w="108" w:type="dxa"/>
          </w:tblCellMar>
        </w:tblPrEx>
        <w:trPr>
          <w:trHeight w:val="480" w:hRule="atLeast"/>
        </w:trPr>
        <w:tc>
          <w:tcPr>
            <w:tcW w:w="14046" w:type="dxa"/>
            <w:gridSpan w:val="13"/>
            <w:tcBorders>
              <w:top w:val="nil"/>
              <w:left w:val="nil"/>
              <w:bottom w:val="nil"/>
              <w:right w:val="nil"/>
            </w:tcBorders>
            <w:shd w:val="clear" w:color="auto" w:fill="auto"/>
            <w:noWrap/>
            <w:vAlign w:val="center"/>
          </w:tcPr>
          <w:p>
            <w:pPr>
              <w:widowControl/>
              <w:jc w:val="center"/>
              <w:rPr>
                <w:rFonts w:cs="宋体" w:asciiTheme="majorEastAsia" w:hAnsiTheme="majorEastAsia" w:eastAsiaTheme="majorEastAsia"/>
                <w:kern w:val="0"/>
                <w:sz w:val="44"/>
                <w:szCs w:val="44"/>
              </w:rPr>
            </w:pPr>
            <w:r>
              <w:rPr>
                <w:rFonts w:hint="eastAsia" w:cs="宋体" w:asciiTheme="majorEastAsia" w:hAnsiTheme="majorEastAsia" w:eastAsiaTheme="majorEastAsia"/>
                <w:kern w:val="0"/>
                <w:sz w:val="44"/>
                <w:szCs w:val="44"/>
              </w:rPr>
              <w:t>2017年市级部门收入预算总表</w:t>
            </w:r>
          </w:p>
        </w:tc>
      </w:tr>
      <w:tr>
        <w:tblPrEx>
          <w:tblCellMar>
            <w:top w:w="0" w:type="dxa"/>
            <w:left w:w="108" w:type="dxa"/>
            <w:bottom w:w="0" w:type="dxa"/>
            <w:right w:w="108" w:type="dxa"/>
          </w:tblCellMar>
        </w:tblPrEx>
        <w:trPr>
          <w:trHeight w:val="402" w:hRule="atLeast"/>
        </w:trPr>
        <w:tc>
          <w:tcPr>
            <w:tcW w:w="2558" w:type="dxa"/>
            <w:tcBorders>
              <w:top w:val="nil"/>
              <w:left w:val="nil"/>
              <w:bottom w:val="single" w:color="auto" w:sz="4" w:space="0"/>
              <w:right w:val="nil"/>
            </w:tcBorders>
            <w:shd w:val="clear" w:color="auto" w:fill="auto"/>
            <w:noWrap/>
            <w:vAlign w:val="center"/>
          </w:tcPr>
          <w:p>
            <w:pPr>
              <w:widowControl/>
              <w:jc w:val="left"/>
              <w:rPr>
                <w:rFonts w:ascii="方正书宋_GBK" w:hAnsi="方正书宋_GBK" w:cs="宋体"/>
                <w:kern w:val="0"/>
                <w:sz w:val="20"/>
              </w:rPr>
            </w:pPr>
            <w:r>
              <w:rPr>
                <w:rFonts w:ascii="方正书宋_GBK" w:hAnsi="方正书宋_GBK" w:cs="宋体"/>
                <w:kern w:val="0"/>
                <w:sz w:val="20"/>
              </w:rPr>
              <w:t>部门名称：温州市</w:t>
            </w:r>
            <w:r>
              <w:rPr>
                <w:rFonts w:hint="eastAsia" w:ascii="方正书宋_GBK" w:hAnsi="方正书宋_GBK" w:cs="宋体"/>
                <w:kern w:val="0"/>
                <w:sz w:val="20"/>
              </w:rPr>
              <w:t>红十字会</w:t>
            </w:r>
          </w:p>
        </w:tc>
        <w:tc>
          <w:tcPr>
            <w:tcW w:w="816"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635"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1297"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894"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894"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770"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1026"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849"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770"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747"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905" w:type="dxa"/>
            <w:tcBorders>
              <w:top w:val="nil"/>
              <w:left w:val="nil"/>
              <w:bottom w:val="nil"/>
              <w:right w:val="nil"/>
            </w:tcBorders>
            <w:shd w:val="clear" w:color="auto" w:fill="auto"/>
            <w:vAlign w:val="center"/>
          </w:tcPr>
          <w:p>
            <w:pPr>
              <w:widowControl/>
              <w:jc w:val="left"/>
              <w:rPr>
                <w:rFonts w:ascii="方正书宋_GBK" w:hAnsi="方正书宋_GBK" w:cs="宋体"/>
                <w:kern w:val="0"/>
                <w:sz w:val="20"/>
              </w:rPr>
            </w:pPr>
          </w:p>
        </w:tc>
        <w:tc>
          <w:tcPr>
            <w:tcW w:w="1885" w:type="dxa"/>
            <w:tcBorders>
              <w:top w:val="nil"/>
              <w:left w:val="nil"/>
              <w:bottom w:val="nil"/>
              <w:right w:val="nil"/>
            </w:tcBorders>
            <w:shd w:val="clear" w:color="auto" w:fill="auto"/>
            <w:noWrap/>
            <w:vAlign w:val="center"/>
          </w:tcPr>
          <w:p>
            <w:pPr>
              <w:widowControl/>
              <w:jc w:val="right"/>
              <w:rPr>
                <w:rFonts w:ascii="方正书宋_GBK" w:hAnsi="方正书宋_GBK" w:cs="宋体"/>
                <w:kern w:val="0"/>
                <w:sz w:val="20"/>
              </w:rPr>
            </w:pPr>
            <w:r>
              <w:rPr>
                <w:rFonts w:ascii="方正书宋_GBK" w:hAnsi="方正书宋_GBK" w:cs="宋体"/>
                <w:kern w:val="0"/>
                <w:sz w:val="20"/>
              </w:rPr>
              <w:t>单位：万元</w:t>
            </w:r>
          </w:p>
        </w:tc>
      </w:tr>
      <w:tr>
        <w:tblPrEx>
          <w:tblCellMar>
            <w:top w:w="0" w:type="dxa"/>
            <w:left w:w="108" w:type="dxa"/>
            <w:bottom w:w="0" w:type="dxa"/>
            <w:right w:w="108" w:type="dxa"/>
          </w:tblCellMar>
        </w:tblPrEx>
        <w:trPr>
          <w:trHeight w:val="402" w:hRule="atLeast"/>
        </w:trPr>
        <w:tc>
          <w:tcPr>
            <w:tcW w:w="255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方正书宋_GBK" w:cs="宋体"/>
                <w:kern w:val="0"/>
                <w:sz w:val="20"/>
              </w:rPr>
            </w:pPr>
            <w:r>
              <w:rPr>
                <w:rFonts w:ascii="方正书宋_GBK" w:hAnsi="方正书宋_GBK" w:cs="宋体"/>
                <w:kern w:val="0"/>
                <w:sz w:val="20"/>
              </w:rPr>
              <w:t>单位名称</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总   计</w:t>
            </w:r>
          </w:p>
        </w:tc>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上年结转</w:t>
            </w:r>
          </w:p>
        </w:tc>
        <w:tc>
          <w:tcPr>
            <w:tcW w:w="12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方正书宋_GBK" w:cs="宋体"/>
                <w:kern w:val="0"/>
                <w:sz w:val="20"/>
              </w:rPr>
            </w:pPr>
            <w:r>
              <w:rPr>
                <w:rFonts w:ascii="方正书宋_GBK" w:hAnsi="方正书宋_GBK" w:cs="宋体"/>
                <w:kern w:val="0"/>
                <w:sz w:val="20"/>
              </w:rPr>
              <w:t>财政拨款</w:t>
            </w:r>
          </w:p>
        </w:tc>
        <w:tc>
          <w:tcPr>
            <w:tcW w:w="8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方正书宋_GBK" w:hAnsi="方正书宋_GBK" w:cs="宋体"/>
                <w:kern w:val="0"/>
                <w:sz w:val="20"/>
              </w:rPr>
            </w:pPr>
            <w:r>
              <w:rPr>
                <w:rFonts w:ascii="方正书宋_GBK" w:hAnsi="方正书宋_GBK" w:cs="宋体"/>
                <w:kern w:val="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方正书宋_GBK" w:hAnsi="方正书宋_GBK" w:cs="宋体"/>
                <w:kern w:val="0"/>
                <w:sz w:val="20"/>
              </w:rPr>
            </w:pPr>
            <w:r>
              <w:rPr>
                <w:rFonts w:ascii="方正书宋_GBK" w:hAnsi="方正书宋_GBK" w:cs="宋体"/>
                <w:kern w:val="0"/>
                <w:sz w:val="20"/>
              </w:rPr>
              <w:t>　</w:t>
            </w:r>
          </w:p>
        </w:tc>
        <w:tc>
          <w:tcPr>
            <w:tcW w:w="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专户资金</w:t>
            </w:r>
          </w:p>
        </w:tc>
        <w:tc>
          <w:tcPr>
            <w:tcW w:w="10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事业收入（不含专户资金）</w:t>
            </w:r>
          </w:p>
        </w:tc>
        <w:tc>
          <w:tcPr>
            <w:tcW w:w="8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事业单位经营收入</w:t>
            </w:r>
          </w:p>
        </w:tc>
        <w:tc>
          <w:tcPr>
            <w:tcW w:w="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其他收入</w:t>
            </w:r>
          </w:p>
        </w:tc>
        <w:tc>
          <w:tcPr>
            <w:tcW w:w="7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上级补助收入</w:t>
            </w:r>
          </w:p>
        </w:tc>
        <w:tc>
          <w:tcPr>
            <w:tcW w:w="9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附属单位上缴收入</w:t>
            </w:r>
          </w:p>
        </w:tc>
        <w:tc>
          <w:tcPr>
            <w:tcW w:w="18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用事业基金弥补收支差额</w:t>
            </w:r>
          </w:p>
        </w:tc>
      </w:tr>
      <w:tr>
        <w:tblPrEx>
          <w:tblCellMar>
            <w:top w:w="0" w:type="dxa"/>
            <w:left w:w="108" w:type="dxa"/>
            <w:bottom w:w="0" w:type="dxa"/>
            <w:right w:w="108" w:type="dxa"/>
          </w:tblCellMar>
        </w:tblPrEx>
        <w:trPr>
          <w:trHeight w:val="1549" w:hRule="atLeast"/>
        </w:trPr>
        <w:tc>
          <w:tcPr>
            <w:tcW w:w="2558"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c>
          <w:tcPr>
            <w:tcW w:w="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合计</w:t>
            </w: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一般公共预算</w:t>
            </w: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方正书宋_GBK" w:cs="宋体"/>
                <w:kern w:val="0"/>
                <w:sz w:val="20"/>
              </w:rPr>
            </w:pPr>
            <w:r>
              <w:rPr>
                <w:rFonts w:ascii="方正书宋_GBK" w:hAnsi="方正书宋_GBK" w:cs="宋体"/>
                <w:kern w:val="0"/>
                <w:sz w:val="20"/>
              </w:rPr>
              <w:t>政府性基金预算</w:t>
            </w:r>
          </w:p>
        </w:tc>
        <w:tc>
          <w:tcPr>
            <w:tcW w:w="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c>
          <w:tcPr>
            <w:tcW w:w="10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书宋_GBK" w:hAnsi="方正书宋_GBK" w:cs="宋体"/>
                <w:kern w:val="0"/>
                <w:sz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c>
          <w:tcPr>
            <w:tcW w:w="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c>
          <w:tcPr>
            <w:tcW w:w="1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方正书宋_GBK" w:cs="宋体"/>
                <w:kern w:val="0"/>
                <w:sz w:val="20"/>
              </w:rPr>
            </w:pPr>
          </w:p>
        </w:tc>
      </w:tr>
      <w:tr>
        <w:tblPrEx>
          <w:tblCellMar>
            <w:top w:w="0" w:type="dxa"/>
            <w:left w:w="108" w:type="dxa"/>
            <w:bottom w:w="0" w:type="dxa"/>
            <w:right w:w="108" w:type="dxa"/>
          </w:tblCellMar>
        </w:tblPrEx>
        <w:trPr>
          <w:trHeight w:val="360" w:hRule="atLeast"/>
        </w:trPr>
        <w:tc>
          <w:tcPr>
            <w:tcW w:w="25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方正书宋_GBK" w:cs="宋体"/>
                <w:kern w:val="0"/>
                <w:sz w:val="20"/>
              </w:rPr>
            </w:pPr>
            <w:r>
              <w:rPr>
                <w:rFonts w:ascii="方正书宋_GBK" w:hAnsi="方正书宋_GBK" w:cs="宋体"/>
                <w:kern w:val="0"/>
                <w:sz w:val="20"/>
              </w:rPr>
              <w:t>合计</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401.59</w:t>
            </w:r>
            <w:r>
              <w:rPr>
                <w:rFonts w:ascii="方正书宋_GBK" w:hAnsi="方正书宋_GBK" w:cs="宋体"/>
                <w:kern w:val="0"/>
                <w:sz w:val="20"/>
              </w:rPr>
              <w:t>　</w:t>
            </w:r>
          </w:p>
        </w:tc>
        <w:tc>
          <w:tcPr>
            <w:tcW w:w="63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1297"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401.59</w:t>
            </w:r>
            <w:r>
              <w:rPr>
                <w:rFonts w:ascii="方正书宋_GBK" w:hAnsi="方正书宋_GBK" w:cs="宋体"/>
                <w:kern w:val="0"/>
                <w:sz w:val="20"/>
              </w:rPr>
              <w:t>　</w:t>
            </w:r>
          </w:p>
        </w:tc>
        <w:tc>
          <w:tcPr>
            <w:tcW w:w="89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401.59</w:t>
            </w:r>
            <w:r>
              <w:rPr>
                <w:rFonts w:ascii="方正书宋_GBK" w:hAnsi="方正书宋_GBK" w:cs="宋体"/>
                <w:kern w:val="0"/>
                <w:sz w:val="20"/>
              </w:rPr>
              <w:t>　</w:t>
            </w:r>
          </w:p>
        </w:tc>
        <w:tc>
          <w:tcPr>
            <w:tcW w:w="89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77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102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84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77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747"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18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r>
      <w:tr>
        <w:tblPrEx>
          <w:tblCellMar>
            <w:top w:w="0" w:type="dxa"/>
            <w:left w:w="108" w:type="dxa"/>
            <w:bottom w:w="0" w:type="dxa"/>
            <w:right w:w="108" w:type="dxa"/>
          </w:tblCellMar>
        </w:tblPrEx>
        <w:trPr>
          <w:trHeight w:val="360" w:hRule="atLeast"/>
        </w:trPr>
        <w:tc>
          <w:tcPr>
            <w:tcW w:w="25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方正书宋_GBK" w:cs="宋体"/>
                <w:kern w:val="0"/>
                <w:sz w:val="20"/>
              </w:rPr>
            </w:pPr>
            <w:r>
              <w:rPr>
                <w:rFonts w:ascii="方正书宋_GBK" w:hAnsi="方正书宋_GBK" w:cs="宋体"/>
                <w:kern w:val="0"/>
                <w:sz w:val="20"/>
              </w:rPr>
              <w:t>温州市</w:t>
            </w:r>
            <w:r>
              <w:rPr>
                <w:rFonts w:hint="eastAsia" w:ascii="方正书宋_GBK" w:hAnsi="方正书宋_GBK" w:cs="宋体"/>
                <w:kern w:val="0"/>
                <w:sz w:val="20"/>
              </w:rPr>
              <w:t>红十字会</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401.59</w:t>
            </w:r>
            <w:r>
              <w:rPr>
                <w:rFonts w:ascii="方正书宋_GBK" w:hAnsi="方正书宋_GBK" w:cs="宋体"/>
                <w:kern w:val="0"/>
                <w:sz w:val="20"/>
              </w:rPr>
              <w:t>　</w:t>
            </w:r>
          </w:p>
        </w:tc>
        <w:tc>
          <w:tcPr>
            <w:tcW w:w="63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1297"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401.59</w:t>
            </w:r>
            <w:r>
              <w:rPr>
                <w:rFonts w:ascii="方正书宋_GBK" w:hAnsi="方正书宋_GBK" w:cs="宋体"/>
                <w:kern w:val="0"/>
                <w:sz w:val="20"/>
              </w:rPr>
              <w:t>　</w:t>
            </w:r>
          </w:p>
        </w:tc>
        <w:tc>
          <w:tcPr>
            <w:tcW w:w="89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401.59</w:t>
            </w:r>
            <w:r>
              <w:rPr>
                <w:rFonts w:ascii="方正书宋_GBK" w:hAnsi="方正书宋_GBK" w:cs="宋体"/>
                <w:kern w:val="0"/>
                <w:sz w:val="20"/>
              </w:rPr>
              <w:t>　</w:t>
            </w:r>
          </w:p>
        </w:tc>
        <w:tc>
          <w:tcPr>
            <w:tcW w:w="89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77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102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84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77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747"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c>
          <w:tcPr>
            <w:tcW w:w="18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方正书宋_GBK" w:cs="宋体"/>
                <w:kern w:val="0"/>
                <w:sz w:val="20"/>
              </w:rPr>
            </w:pPr>
            <w:r>
              <w:rPr>
                <w:rFonts w:hint="eastAsia" w:ascii="方正书宋_GBK" w:hAnsi="方正书宋_GBK" w:cs="宋体"/>
                <w:kern w:val="0"/>
                <w:sz w:val="20"/>
              </w:rPr>
              <w:t>0</w:t>
            </w:r>
            <w:r>
              <w:rPr>
                <w:rFonts w:ascii="方正书宋_GBK" w:hAnsi="方正书宋_GBK" w:cs="宋体"/>
                <w:kern w:val="0"/>
                <w:sz w:val="20"/>
              </w:rPr>
              <w:t>　</w:t>
            </w:r>
          </w:p>
        </w:tc>
      </w:tr>
    </w:tbl>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tbl>
      <w:tblPr>
        <w:tblStyle w:val="10"/>
        <w:tblW w:w="13594" w:type="dxa"/>
        <w:tblInd w:w="250" w:type="dxa"/>
        <w:tblLayout w:type="autofit"/>
        <w:tblCellMar>
          <w:top w:w="0" w:type="dxa"/>
          <w:left w:w="108" w:type="dxa"/>
          <w:bottom w:w="0" w:type="dxa"/>
          <w:right w:w="108" w:type="dxa"/>
        </w:tblCellMar>
      </w:tblPr>
      <w:tblGrid>
        <w:gridCol w:w="2126"/>
        <w:gridCol w:w="1560"/>
        <w:gridCol w:w="1559"/>
        <w:gridCol w:w="1701"/>
        <w:gridCol w:w="1276"/>
        <w:gridCol w:w="2268"/>
        <w:gridCol w:w="1559"/>
        <w:gridCol w:w="1545"/>
      </w:tblGrid>
      <w:tr>
        <w:tblPrEx>
          <w:tblCellMar>
            <w:top w:w="0" w:type="dxa"/>
            <w:left w:w="108" w:type="dxa"/>
            <w:bottom w:w="0" w:type="dxa"/>
            <w:right w:w="108" w:type="dxa"/>
          </w:tblCellMar>
        </w:tblPrEx>
        <w:trPr>
          <w:trHeight w:val="480" w:hRule="atLeast"/>
        </w:trPr>
        <w:tc>
          <w:tcPr>
            <w:tcW w:w="13594" w:type="dxa"/>
            <w:gridSpan w:val="8"/>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kern w:val="0"/>
                <w:sz w:val="44"/>
                <w:szCs w:val="44"/>
              </w:rPr>
            </w:pPr>
            <w:r>
              <w:rPr>
                <w:rFonts w:hint="eastAsia" w:cs="宋体" w:asciiTheme="minorEastAsia" w:hAnsiTheme="minorEastAsia" w:eastAsiaTheme="minorEastAsia"/>
                <w:kern w:val="0"/>
                <w:sz w:val="44"/>
                <w:szCs w:val="44"/>
              </w:rPr>
              <w:t>2017年市级部门支出预算总表</w:t>
            </w:r>
          </w:p>
        </w:tc>
      </w:tr>
      <w:tr>
        <w:tblPrEx>
          <w:tblCellMar>
            <w:top w:w="0" w:type="dxa"/>
            <w:left w:w="108" w:type="dxa"/>
            <w:bottom w:w="0" w:type="dxa"/>
            <w:right w:w="108" w:type="dxa"/>
          </w:tblCellMar>
        </w:tblPrEx>
        <w:trPr>
          <w:trHeight w:val="402" w:hRule="atLeast"/>
        </w:trPr>
        <w:tc>
          <w:tcPr>
            <w:tcW w:w="13594" w:type="dxa"/>
            <w:gridSpan w:val="8"/>
            <w:tcBorders>
              <w:top w:val="nil"/>
              <w:left w:val="nil"/>
              <w:bottom w:val="nil"/>
              <w:right w:val="nil"/>
            </w:tcBorders>
            <w:shd w:val="clear" w:color="auto" w:fill="auto"/>
            <w:vAlign w:val="center"/>
          </w:tcPr>
          <w:p>
            <w:pPr>
              <w:widowControl/>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部门名称：温州市</w:t>
            </w:r>
            <w:r>
              <w:rPr>
                <w:rFonts w:hint="eastAsia" w:cs="宋体" w:asciiTheme="majorEastAsia" w:hAnsiTheme="majorEastAsia" w:eastAsiaTheme="majorEastAsia"/>
                <w:kern w:val="0"/>
                <w:szCs w:val="21"/>
              </w:rPr>
              <w:t xml:space="preserve">红十字会                                                                                        </w:t>
            </w:r>
            <w:r>
              <w:rPr>
                <w:rFonts w:cs="宋体" w:asciiTheme="majorEastAsia" w:hAnsiTheme="majorEastAsia" w:eastAsiaTheme="majorEastAsia"/>
                <w:kern w:val="0"/>
                <w:szCs w:val="21"/>
              </w:rPr>
              <w:t>单位：万元</w:t>
            </w:r>
          </w:p>
        </w:tc>
      </w:tr>
      <w:tr>
        <w:tblPrEx>
          <w:tblCellMar>
            <w:top w:w="0" w:type="dxa"/>
            <w:left w:w="108" w:type="dxa"/>
            <w:bottom w:w="0" w:type="dxa"/>
            <w:right w:w="108" w:type="dxa"/>
          </w:tblCellMar>
        </w:tblPrEx>
        <w:trPr>
          <w:trHeight w:val="402" w:hRule="atLeast"/>
        </w:trPr>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cs="宋体" w:asciiTheme="majorEastAsia" w:hAnsiTheme="majorEastAsia" w:eastAsiaTheme="majorEastAsia"/>
                <w:kern w:val="0"/>
                <w:szCs w:val="21"/>
              </w:rPr>
              <w:t>单位名称</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cs="宋体" w:asciiTheme="majorEastAsia" w:hAnsiTheme="majorEastAsia" w:eastAsiaTheme="majorEastAsia"/>
                <w:kern w:val="0"/>
                <w:szCs w:val="21"/>
              </w:rPr>
              <w:t>总   计</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cs="宋体" w:asciiTheme="majorEastAsia" w:hAnsiTheme="majorEastAsia" w:eastAsiaTheme="majorEastAsia"/>
                <w:kern w:val="0"/>
                <w:szCs w:val="21"/>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cs="宋体" w:asciiTheme="majorEastAsia" w:hAnsiTheme="majorEastAsia" w:eastAsiaTheme="majorEastAsia"/>
                <w:kern w:val="0"/>
                <w:szCs w:val="21"/>
              </w:rPr>
              <w:t>项目支出</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cs="宋体" w:asciiTheme="majorEastAsia" w:hAnsiTheme="majorEastAsia" w:eastAsiaTheme="majorEastAsia"/>
                <w:kern w:val="0"/>
                <w:szCs w:val="21"/>
              </w:rPr>
              <w:t>事业单位经营支出</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cs="宋体" w:asciiTheme="majorEastAsia" w:hAnsiTheme="majorEastAsia" w:eastAsiaTheme="majorEastAsia"/>
                <w:kern w:val="0"/>
                <w:szCs w:val="21"/>
              </w:rPr>
              <w:t>对附属单位补助支出</w:t>
            </w:r>
          </w:p>
        </w:tc>
        <w:tc>
          <w:tcPr>
            <w:tcW w:w="1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cs="宋体" w:asciiTheme="majorEastAsia" w:hAnsiTheme="majorEastAsia" w:eastAsiaTheme="majorEastAsia"/>
                <w:kern w:val="0"/>
                <w:szCs w:val="21"/>
              </w:rPr>
              <w:t>上缴上级支出</w:t>
            </w:r>
          </w:p>
        </w:tc>
      </w:tr>
      <w:tr>
        <w:tblPrEx>
          <w:tblCellMar>
            <w:top w:w="0" w:type="dxa"/>
            <w:left w:w="108" w:type="dxa"/>
            <w:bottom w:w="0" w:type="dxa"/>
            <w:right w:w="108" w:type="dxa"/>
          </w:tblCellMar>
        </w:tblPrEx>
        <w:trPr>
          <w:trHeight w:val="402" w:hRule="atLeast"/>
        </w:trPr>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cs="宋体" w:asciiTheme="majorEastAsia" w:hAnsiTheme="majorEastAsia" w:eastAsiaTheme="majorEastAsia"/>
                <w:kern w:val="0"/>
                <w:szCs w:val="21"/>
              </w:rPr>
              <w:t>人员支出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cs="宋体" w:asciiTheme="majorEastAsia" w:hAnsiTheme="majorEastAsia" w:eastAsiaTheme="majorEastAsia"/>
                <w:kern w:val="0"/>
                <w:szCs w:val="21"/>
              </w:rPr>
              <w:t>日常公用支出</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r>
      <w:tr>
        <w:tblPrEx>
          <w:tblCellMar>
            <w:top w:w="0" w:type="dxa"/>
            <w:left w:w="108" w:type="dxa"/>
            <w:bottom w:w="0" w:type="dxa"/>
            <w:right w:w="108" w:type="dxa"/>
          </w:tblCellMar>
        </w:tblPrEx>
        <w:trPr>
          <w:trHeight w:val="645" w:hRule="atLeast"/>
        </w:trPr>
        <w:tc>
          <w:tcPr>
            <w:tcW w:w="2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401.59</w:t>
            </w:r>
            <w:r>
              <w:rPr>
                <w:rFonts w:cs="宋体" w:asciiTheme="majorEastAsia" w:hAnsiTheme="majorEastAsia" w:eastAsiaTheme="majorEastAsia"/>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173.66</w:t>
            </w:r>
            <w:r>
              <w:rPr>
                <w:rFonts w:cs="宋体" w:asciiTheme="majorEastAsia" w:hAnsiTheme="majorEastAsia" w:eastAsiaTheme="majorEastAsia"/>
                <w:kern w:val="0"/>
                <w:szCs w:val="21"/>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49.37</w:t>
            </w:r>
            <w:r>
              <w:rPr>
                <w:rFonts w:cs="宋体" w:asciiTheme="majorEastAsia" w:hAnsiTheme="majorEastAsia" w:eastAsiaTheme="majorEastAsia"/>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178.56</w:t>
            </w:r>
            <w:r>
              <w:rPr>
                <w:rFonts w:cs="宋体" w:asciiTheme="majorEastAsia" w:hAnsiTheme="majorEastAsia" w:eastAsiaTheme="majorEastAsia"/>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0</w:t>
            </w:r>
            <w:r>
              <w:rPr>
                <w:rFonts w:cs="宋体" w:asciiTheme="majorEastAsia" w:hAnsiTheme="majorEastAsia" w:eastAsiaTheme="majorEastAsia"/>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0</w:t>
            </w:r>
            <w:r>
              <w:rPr>
                <w:rFonts w:cs="宋体" w:asciiTheme="majorEastAsia" w:hAnsiTheme="majorEastAsia" w:eastAsiaTheme="majorEastAsia"/>
                <w:kern w:val="0"/>
                <w:szCs w:val="21"/>
              </w:rPr>
              <w:t>　</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0</w:t>
            </w:r>
            <w:r>
              <w:rPr>
                <w:rFonts w:cs="宋体" w:asciiTheme="majorEastAsia" w:hAnsiTheme="majorEastAsia" w:eastAsiaTheme="majorEastAsia"/>
                <w:kern w:val="0"/>
                <w:szCs w:val="21"/>
              </w:rPr>
              <w:t>　</w:t>
            </w:r>
          </w:p>
        </w:tc>
      </w:tr>
      <w:tr>
        <w:trPr>
          <w:trHeight w:val="645" w:hRule="atLeast"/>
        </w:trPr>
        <w:tc>
          <w:tcPr>
            <w:tcW w:w="2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温州市</w:t>
            </w:r>
            <w:r>
              <w:rPr>
                <w:rFonts w:hint="eastAsia" w:cs="宋体" w:asciiTheme="majorEastAsia" w:hAnsiTheme="majorEastAsia" w:eastAsiaTheme="majorEastAsia"/>
                <w:kern w:val="0"/>
                <w:szCs w:val="21"/>
              </w:rPr>
              <w:t>红十字会</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401.59</w:t>
            </w:r>
            <w:r>
              <w:rPr>
                <w:rFonts w:cs="宋体" w:asciiTheme="majorEastAsia" w:hAnsiTheme="majorEastAsia" w:eastAsiaTheme="majorEastAsia"/>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173.66</w:t>
            </w:r>
            <w:r>
              <w:rPr>
                <w:rFonts w:cs="宋体" w:asciiTheme="majorEastAsia" w:hAnsiTheme="majorEastAsia" w:eastAsiaTheme="majorEastAsia"/>
                <w:kern w:val="0"/>
                <w:szCs w:val="21"/>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49.37</w:t>
            </w:r>
            <w:r>
              <w:rPr>
                <w:rFonts w:cs="宋体" w:asciiTheme="majorEastAsia" w:hAnsiTheme="majorEastAsia" w:eastAsiaTheme="majorEastAsia"/>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178.56</w:t>
            </w:r>
            <w:r>
              <w:rPr>
                <w:rFonts w:cs="宋体" w:asciiTheme="majorEastAsia" w:hAnsiTheme="majorEastAsia" w:eastAsiaTheme="majorEastAsia"/>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0</w:t>
            </w:r>
            <w:r>
              <w:rPr>
                <w:rFonts w:cs="宋体" w:asciiTheme="majorEastAsia" w:hAnsiTheme="majorEastAsia" w:eastAsiaTheme="majorEastAsia"/>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0</w:t>
            </w:r>
            <w:r>
              <w:rPr>
                <w:rFonts w:cs="宋体" w:asciiTheme="majorEastAsia" w:hAnsiTheme="majorEastAsia" w:eastAsiaTheme="majorEastAsia"/>
                <w:kern w:val="0"/>
                <w:szCs w:val="21"/>
              </w:rPr>
              <w:t>　</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0</w:t>
            </w:r>
            <w:r>
              <w:rPr>
                <w:rFonts w:cs="宋体" w:asciiTheme="majorEastAsia" w:hAnsiTheme="majorEastAsia" w:eastAsiaTheme="majorEastAsia"/>
                <w:kern w:val="0"/>
                <w:szCs w:val="21"/>
              </w:rPr>
              <w:t>　</w:t>
            </w:r>
          </w:p>
        </w:tc>
      </w:tr>
    </w:tbl>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p>
      <w:pPr>
        <w:widowControl/>
        <w:spacing w:line="540" w:lineRule="exact"/>
        <w:ind w:right="632"/>
        <w:jc w:val="left"/>
        <w:rPr>
          <w:rFonts w:ascii="仿宋_GB2312" w:hAnsi="宋体" w:eastAsia="仿宋_GB2312"/>
          <w:bCs/>
          <w:spacing w:val="-2"/>
          <w:sz w:val="32"/>
          <w:szCs w:val="32"/>
        </w:rPr>
      </w:pPr>
    </w:p>
    <w:tbl>
      <w:tblPr>
        <w:tblStyle w:val="10"/>
        <w:tblW w:w="12258" w:type="dxa"/>
        <w:tblInd w:w="392" w:type="dxa"/>
        <w:tblLayout w:type="autofit"/>
        <w:tblCellMar>
          <w:top w:w="0" w:type="dxa"/>
          <w:left w:w="108" w:type="dxa"/>
          <w:bottom w:w="0" w:type="dxa"/>
          <w:right w:w="108" w:type="dxa"/>
        </w:tblCellMar>
      </w:tblPr>
      <w:tblGrid>
        <w:gridCol w:w="6748"/>
        <w:gridCol w:w="2510"/>
        <w:gridCol w:w="3000"/>
      </w:tblGrid>
      <w:tr>
        <w:trPr>
          <w:trHeight w:val="221" w:hRule="atLeast"/>
        </w:trPr>
        <w:tc>
          <w:tcPr>
            <w:tcW w:w="12258" w:type="dxa"/>
            <w:gridSpan w:val="3"/>
            <w:tcBorders>
              <w:top w:val="nil"/>
              <w:left w:val="nil"/>
              <w:bottom w:val="nil"/>
              <w:right w:val="nil"/>
            </w:tcBorders>
            <w:shd w:val="clear" w:color="auto" w:fill="auto"/>
            <w:noWrap/>
            <w:vAlign w:val="bottom"/>
          </w:tcPr>
          <w:p>
            <w:pPr>
              <w:widowControl/>
              <w:jc w:val="center"/>
              <w:rPr>
                <w:rFonts w:ascii="宋体" w:hAnsi="宋体" w:cs="宋体"/>
                <w:kern w:val="0"/>
                <w:sz w:val="44"/>
                <w:szCs w:val="44"/>
              </w:rPr>
            </w:pPr>
            <w:r>
              <w:rPr>
                <w:rFonts w:hint="eastAsia" w:ascii="宋体" w:hAnsi="宋体" w:cs="宋体"/>
                <w:kern w:val="0"/>
                <w:sz w:val="44"/>
                <w:szCs w:val="44"/>
              </w:rPr>
              <w:t xml:space="preserve">2017年市级部门“三公”经费表 </w:t>
            </w:r>
          </w:p>
        </w:tc>
      </w:tr>
      <w:tr>
        <w:tblPrEx>
          <w:tblCellMar>
            <w:top w:w="0" w:type="dxa"/>
            <w:left w:w="108" w:type="dxa"/>
            <w:bottom w:w="0" w:type="dxa"/>
            <w:right w:w="108" w:type="dxa"/>
          </w:tblCellMar>
        </w:tblPrEx>
        <w:trPr>
          <w:trHeight w:val="130" w:hRule="atLeast"/>
        </w:trPr>
        <w:tc>
          <w:tcPr>
            <w:tcW w:w="6748"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部门名称：温州市红十字会</w:t>
            </w:r>
          </w:p>
        </w:tc>
        <w:tc>
          <w:tcPr>
            <w:tcW w:w="251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000" w:type="dxa"/>
            <w:tcBorders>
              <w:top w:val="nil"/>
              <w:left w:val="nil"/>
              <w:bottom w:val="nil"/>
              <w:right w:val="nil"/>
            </w:tcBorders>
            <w:shd w:val="clear" w:color="auto" w:fill="auto"/>
            <w:noWrap/>
            <w:vAlign w:val="bottom"/>
          </w:tcPr>
          <w:p>
            <w:pPr>
              <w:widowControl/>
              <w:ind w:right="180"/>
              <w:jc w:val="right"/>
              <w:rPr>
                <w:rFonts w:ascii="宋体" w:hAnsi="宋体" w:cs="宋体"/>
                <w:kern w:val="0"/>
                <w:sz w:val="18"/>
                <w:szCs w:val="18"/>
              </w:rPr>
            </w:pPr>
            <w:r>
              <w:rPr>
                <w:rFonts w:hint="eastAsia" w:ascii="宋体" w:hAnsi="宋体" w:cs="宋体"/>
                <w:kern w:val="0"/>
                <w:sz w:val="18"/>
                <w:szCs w:val="18"/>
              </w:rPr>
              <w:t>单位：万元</w:t>
            </w:r>
          </w:p>
        </w:tc>
      </w:tr>
      <w:tr>
        <w:trPr>
          <w:trHeight w:val="308" w:hRule="atLeast"/>
        </w:trPr>
        <w:tc>
          <w:tcPr>
            <w:tcW w:w="6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2510"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2017年预算数</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其中一般公共预算安排数</w:t>
            </w:r>
          </w:p>
        </w:tc>
      </w:tr>
      <w:tr>
        <w:tblPrEx>
          <w:tblCellMar>
            <w:top w:w="0" w:type="dxa"/>
            <w:left w:w="108" w:type="dxa"/>
            <w:bottom w:w="0" w:type="dxa"/>
            <w:right w:w="108" w:type="dxa"/>
          </w:tblCellMar>
        </w:tblPrEx>
        <w:trPr>
          <w:trHeight w:val="308" w:hRule="atLeast"/>
        </w:trPr>
        <w:tc>
          <w:tcPr>
            <w:tcW w:w="6748" w:type="dxa"/>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2510" w:type="dxa"/>
            <w:tcBorders>
              <w:top w:val="single" w:color="auto" w:sz="4" w:space="0"/>
              <w:left w:val="single" w:color="auto" w:sz="4" w:space="0"/>
              <w:bottom w:val="nil"/>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6　</w:t>
            </w:r>
          </w:p>
        </w:tc>
        <w:tc>
          <w:tcPr>
            <w:tcW w:w="3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6　</w:t>
            </w:r>
          </w:p>
        </w:tc>
      </w:tr>
      <w:tr>
        <w:trPr>
          <w:trHeight w:val="308" w:hRule="atLeast"/>
        </w:trPr>
        <w:tc>
          <w:tcPr>
            <w:tcW w:w="6748"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1.因公出国(境)费用</w:t>
            </w:r>
          </w:p>
        </w:tc>
        <w:tc>
          <w:tcPr>
            <w:tcW w:w="2510" w:type="dxa"/>
            <w:tcBorders>
              <w:top w:val="single" w:color="auto" w:sz="4" w:space="0"/>
              <w:left w:val="single" w:color="auto" w:sz="4" w:space="0"/>
              <w:bottom w:val="nil"/>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5　</w:t>
            </w:r>
          </w:p>
        </w:tc>
        <w:tc>
          <w:tcPr>
            <w:tcW w:w="3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5　</w:t>
            </w:r>
          </w:p>
        </w:tc>
      </w:tr>
      <w:tr>
        <w:trPr>
          <w:trHeight w:val="308" w:hRule="atLeast"/>
        </w:trPr>
        <w:tc>
          <w:tcPr>
            <w:tcW w:w="6748"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2.公务接待费</w:t>
            </w:r>
          </w:p>
        </w:tc>
        <w:tc>
          <w:tcPr>
            <w:tcW w:w="25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　</w:t>
            </w:r>
          </w:p>
        </w:tc>
        <w:tc>
          <w:tcPr>
            <w:tcW w:w="3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　</w:t>
            </w:r>
          </w:p>
        </w:tc>
      </w:tr>
      <w:tr>
        <w:trPr>
          <w:trHeight w:val="308" w:hRule="atLeast"/>
        </w:trPr>
        <w:tc>
          <w:tcPr>
            <w:tcW w:w="6748"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3.公务用车购置及运行维护费</w:t>
            </w:r>
          </w:p>
        </w:tc>
        <w:tc>
          <w:tcPr>
            <w:tcW w:w="251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0　</w:t>
            </w:r>
          </w:p>
        </w:tc>
        <w:tc>
          <w:tcPr>
            <w:tcW w:w="3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0　</w:t>
            </w:r>
          </w:p>
        </w:tc>
      </w:tr>
      <w:tr>
        <w:trPr>
          <w:trHeight w:val="308" w:hRule="atLeast"/>
        </w:trPr>
        <w:tc>
          <w:tcPr>
            <w:tcW w:w="6748" w:type="dxa"/>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其中：公务用车购置费</w:t>
            </w:r>
          </w:p>
        </w:tc>
        <w:tc>
          <w:tcPr>
            <w:tcW w:w="2510" w:type="dxa"/>
            <w:tcBorders>
              <w:top w:val="nil"/>
              <w:left w:val="single" w:color="auto" w:sz="4" w:space="0"/>
              <w:bottom w:val="nil"/>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0　</w:t>
            </w:r>
          </w:p>
        </w:tc>
        <w:tc>
          <w:tcPr>
            <w:tcW w:w="3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0　</w:t>
            </w:r>
          </w:p>
        </w:tc>
      </w:tr>
      <w:tr>
        <w:trPr>
          <w:trHeight w:val="308" w:hRule="atLeast"/>
        </w:trPr>
        <w:tc>
          <w:tcPr>
            <w:tcW w:w="6748" w:type="dxa"/>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公务用车运行维护费</w:t>
            </w:r>
          </w:p>
        </w:tc>
        <w:tc>
          <w:tcPr>
            <w:tcW w:w="25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0　</w:t>
            </w:r>
          </w:p>
        </w:tc>
        <w:tc>
          <w:tcPr>
            <w:tcW w:w="30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0　</w:t>
            </w:r>
          </w:p>
        </w:tc>
      </w:tr>
    </w:tbl>
    <w:p>
      <w:pPr>
        <w:widowControl/>
        <w:spacing w:line="540" w:lineRule="exact"/>
        <w:ind w:right="632"/>
        <w:jc w:val="left"/>
        <w:rPr>
          <w:rFonts w:ascii="仿宋_GB2312" w:hAnsi="宋体" w:eastAsia="仿宋_GB2312"/>
          <w:bCs/>
          <w:spacing w:val="-2"/>
          <w:sz w:val="32"/>
          <w:szCs w:val="32"/>
        </w:rPr>
      </w:pPr>
    </w:p>
    <w:p/>
    <w:sectPr>
      <w:headerReference r:id="rId7" w:type="first"/>
      <w:pgSz w:w="16838" w:h="11906" w:orient="landscape"/>
      <w:pgMar w:top="1587" w:right="2098" w:bottom="1474" w:left="1984" w:header="1474" w:footer="1587" w:gutter="0"/>
      <w:cols w:space="720" w:num="1"/>
      <w:titlePg/>
      <w:docGrid w:type="lines"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eastAsia="宋体"/>
        <w:sz w:val="28"/>
        <w:szCs w:val="28"/>
      </w:rPr>
    </w:pPr>
    <w:r>
      <w:rPr>
        <w:rStyle w:val="13"/>
        <w:rFonts w:hint="eastAsia" w:ascii="宋体" w:hAnsi="宋体" w:eastAsia="宋体"/>
        <w:sz w:val="28"/>
        <w:szCs w:val="28"/>
      </w:rPr>
      <w:t xml:space="preserve">— </w:t>
    </w: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4</w:t>
    </w:r>
    <w:r>
      <w:rPr>
        <w:rFonts w:ascii="宋体" w:hAnsi="宋体" w:eastAsia="宋体"/>
        <w:sz w:val="28"/>
        <w:szCs w:val="28"/>
      </w:rPr>
      <w:fldChar w:fldCharType="end"/>
    </w:r>
    <w:r>
      <w:rPr>
        <w:rStyle w:val="13"/>
        <w:rFonts w:hint="eastAsia" w:ascii="宋体" w:hAnsi="宋体" w:eastAsia="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F1008F"/>
    <w:rsid w:val="000720B3"/>
    <w:rsid w:val="000E709C"/>
    <w:rsid w:val="000F31CB"/>
    <w:rsid w:val="001543F2"/>
    <w:rsid w:val="00165AFA"/>
    <w:rsid w:val="00192CE9"/>
    <w:rsid w:val="00193C1F"/>
    <w:rsid w:val="001A7079"/>
    <w:rsid w:val="001D54D4"/>
    <w:rsid w:val="001D5F34"/>
    <w:rsid w:val="001E488F"/>
    <w:rsid w:val="00236105"/>
    <w:rsid w:val="00247B0F"/>
    <w:rsid w:val="00247DEC"/>
    <w:rsid w:val="00257626"/>
    <w:rsid w:val="0026210E"/>
    <w:rsid w:val="00277AA3"/>
    <w:rsid w:val="002B6A3B"/>
    <w:rsid w:val="002F6596"/>
    <w:rsid w:val="003B004E"/>
    <w:rsid w:val="00515D45"/>
    <w:rsid w:val="00552984"/>
    <w:rsid w:val="00581492"/>
    <w:rsid w:val="005833E7"/>
    <w:rsid w:val="005A00E2"/>
    <w:rsid w:val="005F27C0"/>
    <w:rsid w:val="005F749A"/>
    <w:rsid w:val="00604544"/>
    <w:rsid w:val="00610A9A"/>
    <w:rsid w:val="006117F9"/>
    <w:rsid w:val="00623B80"/>
    <w:rsid w:val="00642C30"/>
    <w:rsid w:val="006A6104"/>
    <w:rsid w:val="006C5F6F"/>
    <w:rsid w:val="00746C56"/>
    <w:rsid w:val="00764045"/>
    <w:rsid w:val="007C0AA9"/>
    <w:rsid w:val="007C14F8"/>
    <w:rsid w:val="007D74E9"/>
    <w:rsid w:val="0086202E"/>
    <w:rsid w:val="00894AEC"/>
    <w:rsid w:val="008B75A3"/>
    <w:rsid w:val="008B79F6"/>
    <w:rsid w:val="0093062B"/>
    <w:rsid w:val="00970520"/>
    <w:rsid w:val="00993DA3"/>
    <w:rsid w:val="009A02F6"/>
    <w:rsid w:val="009A0DE8"/>
    <w:rsid w:val="009E331C"/>
    <w:rsid w:val="00A4257B"/>
    <w:rsid w:val="00A4529E"/>
    <w:rsid w:val="00A72ECB"/>
    <w:rsid w:val="00A954FF"/>
    <w:rsid w:val="00AB3139"/>
    <w:rsid w:val="00B00D6A"/>
    <w:rsid w:val="00B030FA"/>
    <w:rsid w:val="00B24168"/>
    <w:rsid w:val="00B61B59"/>
    <w:rsid w:val="00B725DA"/>
    <w:rsid w:val="00B7554E"/>
    <w:rsid w:val="00B82FD4"/>
    <w:rsid w:val="00BA0D02"/>
    <w:rsid w:val="00BA1537"/>
    <w:rsid w:val="00BE315E"/>
    <w:rsid w:val="00C7676A"/>
    <w:rsid w:val="00C77FCE"/>
    <w:rsid w:val="00C944EE"/>
    <w:rsid w:val="00D071C7"/>
    <w:rsid w:val="00D27C1C"/>
    <w:rsid w:val="00DA7116"/>
    <w:rsid w:val="00DD3F9A"/>
    <w:rsid w:val="00DD76F7"/>
    <w:rsid w:val="00E20019"/>
    <w:rsid w:val="00EE66E8"/>
    <w:rsid w:val="00F1008F"/>
    <w:rsid w:val="5D935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7"/>
    <w:unhideWhenUsed/>
    <w:uiPriority w:val="0"/>
    <w:pPr>
      <w:spacing w:after="120"/>
      <w:ind w:left="420" w:leftChars="200"/>
    </w:pPr>
  </w:style>
  <w:style w:type="paragraph" w:styleId="3">
    <w:name w:val="Date"/>
    <w:basedOn w:val="1"/>
    <w:next w:val="1"/>
    <w:link w:val="23"/>
    <w:uiPriority w:val="0"/>
    <w:pPr>
      <w:ind w:left="100" w:leftChars="2500"/>
    </w:pPr>
  </w:style>
  <w:style w:type="paragraph" w:styleId="4">
    <w:name w:val="Body Text Indent 2"/>
    <w:basedOn w:val="1"/>
    <w:link w:val="22"/>
    <w:uiPriority w:val="0"/>
    <w:pPr>
      <w:ind w:firstLine="643" w:firstLineChars="200"/>
    </w:pPr>
    <w:rPr>
      <w:rFonts w:ascii="仿宋_GB2312" w:eastAsia="仿宋_GB2312"/>
      <w:b/>
      <w:bCs/>
      <w:sz w:val="32"/>
      <w:szCs w:val="24"/>
    </w:rPr>
  </w:style>
  <w:style w:type="paragraph" w:styleId="5">
    <w:name w:val="Balloon Text"/>
    <w:basedOn w:val="1"/>
    <w:link w:val="14"/>
    <w:qFormat/>
    <w:uiPriority w:val="0"/>
    <w:rPr>
      <w:sz w:val="18"/>
      <w:szCs w:val="18"/>
    </w:rPr>
  </w:style>
  <w:style w:type="paragraph" w:styleId="6">
    <w:name w:val="footer"/>
    <w:basedOn w:val="1"/>
    <w:link w:val="21"/>
    <w:uiPriority w:val="0"/>
    <w:pPr>
      <w:tabs>
        <w:tab w:val="center" w:pos="4153"/>
        <w:tab w:val="right" w:pos="8306"/>
      </w:tabs>
      <w:snapToGrid w:val="0"/>
      <w:jc w:val="left"/>
    </w:pPr>
    <w:rPr>
      <w:rFonts w:eastAsia="黑体"/>
      <w:snapToGrid w:val="0"/>
      <w:kern w:val="0"/>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9">
    <w:name w:val="Body Text First Indent 2"/>
    <w:basedOn w:val="2"/>
    <w:link w:val="18"/>
    <w:uiPriority w:val="0"/>
    <w:pPr>
      <w:ind w:firstLine="420" w:firstLineChars="200"/>
    </w:pPr>
  </w:style>
  <w:style w:type="character" w:styleId="12">
    <w:name w:val="Strong"/>
    <w:basedOn w:val="11"/>
    <w:qFormat/>
    <w:uiPriority w:val="22"/>
    <w:rPr>
      <w:b/>
      <w:bCs/>
      <w:szCs w:val="24"/>
    </w:rPr>
  </w:style>
  <w:style w:type="character" w:styleId="13">
    <w:name w:val="page number"/>
    <w:basedOn w:val="11"/>
    <w:uiPriority w:val="0"/>
    <w:rPr>
      <w:szCs w:val="24"/>
    </w:rPr>
  </w:style>
  <w:style w:type="character" w:customStyle="1" w:styleId="14">
    <w:name w:val="批注框文本 Char"/>
    <w:basedOn w:val="11"/>
    <w:link w:val="5"/>
    <w:qFormat/>
    <w:uiPriority w:val="0"/>
    <w:rPr>
      <w:rFonts w:ascii="Times New Roman" w:hAnsi="Times New Roman" w:eastAsia="宋体" w:cs="Times New Roman"/>
      <w:sz w:val="18"/>
      <w:szCs w:val="18"/>
    </w:rPr>
  </w:style>
  <w:style w:type="character" w:customStyle="1" w:styleId="15">
    <w:name w:val="页眉 Char"/>
    <w:basedOn w:val="11"/>
    <w:link w:val="7"/>
    <w:qFormat/>
    <w:uiPriority w:val="0"/>
    <w:rPr>
      <w:rFonts w:ascii="Times New Roman" w:hAnsi="Times New Roman" w:eastAsia="宋体" w:cs="Times New Roman"/>
      <w:sz w:val="18"/>
      <w:szCs w:val="18"/>
    </w:rPr>
  </w:style>
  <w:style w:type="paragraph" w:customStyle="1" w:styleId="16">
    <w:name w:val="p15"/>
    <w:basedOn w:val="1"/>
    <w:qFormat/>
    <w:uiPriority w:val="0"/>
    <w:pPr>
      <w:widowControl/>
    </w:pPr>
    <w:rPr>
      <w:rFonts w:ascii="宋体" w:hAnsi="宋体" w:cs="宋体"/>
      <w:kern w:val="0"/>
      <w:szCs w:val="21"/>
    </w:rPr>
  </w:style>
  <w:style w:type="character" w:customStyle="1" w:styleId="17">
    <w:name w:val="正文文本缩进 Char"/>
    <w:basedOn w:val="11"/>
    <w:link w:val="2"/>
    <w:uiPriority w:val="0"/>
    <w:rPr>
      <w:rFonts w:ascii="Times New Roman" w:hAnsi="Times New Roman" w:eastAsia="宋体" w:cs="Times New Roman"/>
      <w:szCs w:val="20"/>
    </w:rPr>
  </w:style>
  <w:style w:type="character" w:customStyle="1" w:styleId="18">
    <w:name w:val="正文首行缩进 2 Char"/>
    <w:basedOn w:val="17"/>
    <w:link w:val="9"/>
    <w:uiPriority w:val="0"/>
    <w:rPr>
      <w:rFonts w:ascii="Times New Roman" w:hAnsi="Times New Roman" w:eastAsia="宋体" w:cs="Times New Roman"/>
      <w:szCs w:val="20"/>
    </w:rPr>
  </w:style>
  <w:style w:type="paragraph" w:customStyle="1" w:styleId="19">
    <w:name w:val="Char Char Char"/>
    <w:basedOn w:val="1"/>
    <w:uiPriority w:val="0"/>
    <w:pPr>
      <w:widowControl/>
      <w:spacing w:after="160" w:line="240" w:lineRule="exact"/>
      <w:jc w:val="left"/>
    </w:pPr>
    <w:rPr>
      <w:rFonts w:ascii="Verdana" w:hAnsi="Verdana" w:eastAsia="仿宋_GB2312"/>
      <w:kern w:val="0"/>
      <w:sz w:val="20"/>
      <w:szCs w:val="32"/>
      <w:lang w:eastAsia="en-US"/>
    </w:rPr>
  </w:style>
  <w:style w:type="paragraph" w:customStyle="1" w:styleId="20">
    <w:name w:val="Char1"/>
    <w:basedOn w:val="1"/>
    <w:uiPriority w:val="0"/>
    <w:rPr>
      <w:rFonts w:ascii="仿宋_GB2312" w:eastAsia="仿宋_GB2312"/>
      <w:b/>
      <w:sz w:val="32"/>
      <w:szCs w:val="32"/>
    </w:rPr>
  </w:style>
  <w:style w:type="character" w:customStyle="1" w:styleId="21">
    <w:name w:val="页脚 Char"/>
    <w:basedOn w:val="11"/>
    <w:link w:val="6"/>
    <w:uiPriority w:val="0"/>
    <w:rPr>
      <w:rFonts w:ascii="Times New Roman" w:hAnsi="Times New Roman" w:eastAsia="黑体" w:cs="Times New Roman"/>
      <w:snapToGrid w:val="0"/>
      <w:kern w:val="0"/>
      <w:sz w:val="18"/>
      <w:szCs w:val="18"/>
    </w:rPr>
  </w:style>
  <w:style w:type="character" w:customStyle="1" w:styleId="22">
    <w:name w:val="正文文本缩进 2 Char"/>
    <w:basedOn w:val="11"/>
    <w:link w:val="4"/>
    <w:uiPriority w:val="0"/>
    <w:rPr>
      <w:rFonts w:ascii="仿宋_GB2312" w:hAnsi="Times New Roman" w:eastAsia="仿宋_GB2312" w:cs="Times New Roman"/>
      <w:b/>
      <w:bCs/>
      <w:sz w:val="32"/>
      <w:szCs w:val="24"/>
    </w:rPr>
  </w:style>
  <w:style w:type="character" w:customStyle="1" w:styleId="23">
    <w:name w:val="日期 Char"/>
    <w:basedOn w:val="11"/>
    <w:link w:val="3"/>
    <w:uiPriority w:val="0"/>
    <w:rPr>
      <w:rFonts w:ascii="Times New Roman" w:hAnsi="Times New Roman" w:eastAsia="宋体" w:cs="Times New Roman"/>
      <w:szCs w:val="20"/>
    </w:rPr>
  </w:style>
  <w:style w:type="paragraph" w:customStyle="1" w:styleId="24">
    <w:name w:val="p0"/>
    <w:basedOn w:val="1"/>
    <w:uiPriority w:val="0"/>
    <w:pPr>
      <w:widowControl/>
    </w:pPr>
    <w:rPr>
      <w:kern w:val="0"/>
      <w:szCs w:val="21"/>
    </w:rPr>
  </w:style>
  <w:style w:type="paragraph" w:customStyle="1" w:styleId="25">
    <w:name w:val="Char Char Char Char Char Char Char"/>
    <w:basedOn w:val="1"/>
    <w:uiPriority w:val="0"/>
    <w:rPr>
      <w:szCs w:val="21"/>
    </w:rPr>
  </w:style>
  <w:style w:type="paragraph" w:customStyle="1" w:styleId="26">
    <w:name w:val="p16"/>
    <w:basedOn w:val="1"/>
    <w:uiPriority w:val="0"/>
    <w:pPr>
      <w:widowControl/>
    </w:pPr>
    <w:rPr>
      <w:rFonts w:ascii="宋体" w:hAnsi="宋体" w:cs="宋体"/>
      <w:kern w:val="0"/>
      <w:szCs w:val="21"/>
    </w:rPr>
  </w:style>
  <w:style w:type="paragraph" w:customStyle="1" w:styleId="27">
    <w:name w:val="Char"/>
    <w:basedOn w:val="1"/>
    <w:uiPriority w:val="0"/>
    <w:rPr>
      <w:szCs w:val="24"/>
    </w:rPr>
  </w:style>
  <w:style w:type="paragraph" w:customStyle="1" w:styleId="28">
    <w:name w:val="p17"/>
    <w:basedOn w:val="1"/>
    <w:uiPriority w:val="0"/>
    <w:pPr>
      <w:widowControl/>
    </w:pPr>
    <w:rPr>
      <w:rFonts w:ascii="宋体" w:hAnsi="宋体" w:cs="宋体"/>
      <w:kern w:val="0"/>
      <w:szCs w:val="21"/>
    </w:rPr>
  </w:style>
  <w:style w:type="paragraph" w:customStyle="1" w:styleId="29">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p19"/>
    <w:basedOn w:val="1"/>
    <w:uiPriority w:val="0"/>
    <w:pPr>
      <w:widowControl/>
    </w:pPr>
    <w:rPr>
      <w:rFonts w:ascii="宋体" w:hAnsi="宋体" w:cs="宋体"/>
      <w:kern w:val="0"/>
      <w:szCs w:val="21"/>
    </w:rPr>
  </w:style>
  <w:style w:type="paragraph" w:customStyle="1" w:styleId="31">
    <w:name w:val="Char Char Char Char"/>
    <w:next w:val="9"/>
    <w:semiHidden/>
    <w:uiPriority w:val="0"/>
    <w:pPr>
      <w:snapToGrid w:val="0"/>
      <w:spacing w:line="36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32">
    <w:name w:val="正文1"/>
    <w:uiPriority w:val="0"/>
    <w:pPr>
      <w:widowControl w:val="0"/>
      <w:jc w:val="both"/>
    </w:pPr>
    <w:rPr>
      <w:rFonts w:hint="eastAsia" w:ascii="Times New Roman" w:hAnsi="Times New Roman" w:eastAsia="宋体" w:cs="Times New Roman"/>
      <w:kern w:val="2"/>
      <w:sz w:val="21"/>
      <w:szCs w:val="20"/>
      <w:lang w:val="en-US" w:eastAsia="zh-CN" w:bidi="ar-SA"/>
    </w:rPr>
  </w:style>
  <w:style w:type="paragraph" w:customStyle="1" w:styleId="33">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4">
    <w:name w:val="Char2"/>
    <w:basedOn w:val="1"/>
    <w:uiPriority w:val="0"/>
  </w:style>
  <w:style w:type="paragraph" w:customStyle="1" w:styleId="35">
    <w:name w:val="Char Char2"/>
    <w:basedOn w:val="1"/>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4436</Words>
  <Characters>5330</Characters>
  <Lines>48</Lines>
  <Paragraphs>13</Paragraphs>
  <TotalTime>153</TotalTime>
  <ScaleCrop>false</ScaleCrop>
  <LinksUpToDate>false</LinksUpToDate>
  <CharactersWithSpaces>6098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2017-05-22T01:18:00Z</dcterms:created>
  <dc:creator>h</dc:creator>
  <cp:lastModifiedBy>Administrator</cp:lastModifiedBy>
  <dcterms:modified xsi:type="dcterms:W3CDTF">2022-05-26T06:47:06Z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9598CF3AF81540589A7B230A87C31C76</vt:lpwstr>
  </property>
</Properties>
</file>